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02A3D" w14:textId="77777777" w:rsidR="00567CAF" w:rsidRPr="00F072E2" w:rsidRDefault="00D86CA1">
      <w:pPr>
        <w:spacing w:after="120"/>
        <w:jc w:val="center"/>
        <w:rPr>
          <w:rFonts w:asciiTheme="minorHAnsi" w:hAnsiTheme="minorHAnsi" w:cstheme="minorHAnsi"/>
          <w:sz w:val="22"/>
          <w:szCs w:val="22"/>
        </w:rPr>
      </w:pPr>
      <w:r w:rsidRPr="00F072E2">
        <w:rPr>
          <w:rFonts w:asciiTheme="minorHAnsi" w:hAnsiTheme="minorHAnsi" w:cstheme="minorHAnsi"/>
          <w:b/>
          <w:bCs/>
          <w:sz w:val="22"/>
          <w:szCs w:val="22"/>
        </w:rPr>
        <w:t>Programa Euroclima</w:t>
      </w:r>
    </w:p>
    <w:p w14:paraId="67912120" w14:textId="77777777" w:rsidR="00567CAF" w:rsidRPr="00F072E2" w:rsidRDefault="00D86CA1">
      <w:pPr>
        <w:spacing w:after="120"/>
        <w:jc w:val="center"/>
        <w:rPr>
          <w:rFonts w:asciiTheme="minorHAnsi" w:hAnsiTheme="minorHAnsi" w:cstheme="minorHAnsi"/>
          <w:sz w:val="22"/>
          <w:szCs w:val="22"/>
        </w:rPr>
      </w:pPr>
      <w:r w:rsidRPr="00F072E2">
        <w:rPr>
          <w:rFonts w:asciiTheme="minorHAnsi" w:hAnsiTheme="minorHAnsi" w:cstheme="minorHAnsi"/>
          <w:b/>
          <w:bCs/>
          <w:sz w:val="22"/>
          <w:szCs w:val="22"/>
        </w:rPr>
        <w:t>Términos de Referencia</w:t>
      </w:r>
    </w:p>
    <w:p w14:paraId="45B0C6F4" w14:textId="77777777" w:rsidR="00567CAF" w:rsidRPr="00F072E2" w:rsidRDefault="00D86CA1" w:rsidP="00F072E2">
      <w:pPr>
        <w:spacing w:after="240"/>
        <w:jc w:val="both"/>
        <w:rPr>
          <w:rFonts w:asciiTheme="minorHAnsi" w:hAnsiTheme="minorHAnsi" w:cstheme="minorHAnsi"/>
          <w:sz w:val="22"/>
          <w:szCs w:val="22"/>
        </w:rPr>
      </w:pPr>
      <w:r w:rsidRPr="00F072E2">
        <w:rPr>
          <w:rFonts w:asciiTheme="minorHAnsi" w:hAnsiTheme="minorHAnsi" w:cstheme="minorHAnsi"/>
          <w:sz w:val="22"/>
          <w:szCs w:val="22"/>
        </w:rPr>
        <w:t>Análisis, Diseño y Operacionalización/Alistamiento para Implementación de Instrumentos de Financiamiento Diversificado para el Fortalecimiento y Escalamiento Sostenible del Programa de Pago por Servicios Ambientales de Costa Rica (PSA 2.0)</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026"/>
      </w:tblGrid>
      <w:tr w:rsidR="00567CAF" w:rsidRPr="00F072E2" w14:paraId="73CEF2AB" w14:textId="77777777" w:rsidTr="00F072E2">
        <w:tc>
          <w:tcPr>
            <w:tcW w:w="2000" w:type="dxa"/>
            <w:shd w:val="clear" w:color="auto" w:fill="2F5496" w:themeFill="accent5" w:themeFillShade="BF"/>
            <w:tcMar>
              <w:top w:w="80" w:type="dxa"/>
              <w:left w:w="120" w:type="dxa"/>
              <w:bottom w:w="80" w:type="dxa"/>
              <w:right w:w="120" w:type="dxa"/>
            </w:tcMar>
          </w:tcPr>
          <w:p w14:paraId="29CD61EC" w14:textId="77777777" w:rsidR="00567CAF" w:rsidRPr="00F072E2" w:rsidRDefault="00D86CA1" w:rsidP="00F072E2">
            <w:pPr>
              <w:jc w:val="both"/>
              <w:rPr>
                <w:rFonts w:asciiTheme="minorHAnsi" w:hAnsiTheme="minorHAnsi" w:cstheme="minorHAnsi"/>
                <w:color w:val="FFFFFF" w:themeColor="background1"/>
                <w:sz w:val="22"/>
                <w:szCs w:val="22"/>
              </w:rPr>
            </w:pPr>
            <w:r w:rsidRPr="00F072E2">
              <w:rPr>
                <w:rFonts w:asciiTheme="minorHAnsi" w:hAnsiTheme="minorHAnsi" w:cstheme="minorHAnsi"/>
                <w:b/>
                <w:color w:val="FFFFFF" w:themeColor="background1"/>
                <w:sz w:val="22"/>
                <w:szCs w:val="22"/>
              </w:rPr>
              <w:t>Título</w:t>
            </w:r>
          </w:p>
        </w:tc>
        <w:tc>
          <w:tcPr>
            <w:tcW w:w="7026" w:type="dxa"/>
            <w:tcMar>
              <w:top w:w="80" w:type="dxa"/>
              <w:left w:w="120" w:type="dxa"/>
              <w:bottom w:w="80" w:type="dxa"/>
              <w:right w:w="120" w:type="dxa"/>
            </w:tcMar>
          </w:tcPr>
          <w:p w14:paraId="4732680F" w14:textId="77777777" w:rsidR="00567CAF" w:rsidRPr="00F072E2" w:rsidRDefault="00D86CA1" w:rsidP="00F072E2">
            <w:pPr>
              <w:jc w:val="both"/>
              <w:rPr>
                <w:rFonts w:asciiTheme="minorHAnsi" w:hAnsiTheme="minorHAnsi" w:cstheme="minorHAnsi"/>
                <w:sz w:val="22"/>
                <w:szCs w:val="22"/>
              </w:rPr>
            </w:pPr>
            <w:r w:rsidRPr="00F072E2">
              <w:rPr>
                <w:rFonts w:asciiTheme="minorHAnsi" w:hAnsiTheme="minorHAnsi" w:cstheme="minorHAnsi"/>
                <w:sz w:val="22"/>
                <w:szCs w:val="22"/>
              </w:rPr>
              <w:t>Análisis, Diseño y Operacionalización/Alistamiento para Implementación de Instrumentos de Financiamiento Diversificado para el Fortalecimiento y Escalamiento Sostenible del Programa de Pago por Servicios Ambientales (PSA) de Costa Rica (PSA 2.0)</w:t>
            </w:r>
          </w:p>
        </w:tc>
      </w:tr>
      <w:tr w:rsidR="00567CAF" w:rsidRPr="00F072E2" w14:paraId="5E65E0D4" w14:textId="77777777" w:rsidTr="00F072E2">
        <w:tc>
          <w:tcPr>
            <w:tcW w:w="2000" w:type="dxa"/>
            <w:shd w:val="clear" w:color="auto" w:fill="2F5496" w:themeFill="accent5" w:themeFillShade="BF"/>
            <w:tcMar>
              <w:top w:w="80" w:type="dxa"/>
              <w:left w:w="120" w:type="dxa"/>
              <w:bottom w:w="80" w:type="dxa"/>
              <w:right w:w="120" w:type="dxa"/>
            </w:tcMar>
          </w:tcPr>
          <w:p w14:paraId="6540878D" w14:textId="77777777" w:rsidR="00567CAF" w:rsidRPr="00F072E2" w:rsidRDefault="00D86CA1" w:rsidP="00F072E2">
            <w:pPr>
              <w:jc w:val="both"/>
              <w:rPr>
                <w:rFonts w:asciiTheme="minorHAnsi" w:hAnsiTheme="minorHAnsi" w:cstheme="minorHAnsi"/>
                <w:color w:val="FFFFFF" w:themeColor="background1"/>
                <w:sz w:val="22"/>
                <w:szCs w:val="22"/>
              </w:rPr>
            </w:pPr>
            <w:r w:rsidRPr="00F072E2">
              <w:rPr>
                <w:rFonts w:asciiTheme="minorHAnsi" w:hAnsiTheme="minorHAnsi" w:cstheme="minorHAnsi"/>
                <w:b/>
                <w:color w:val="FFFFFF" w:themeColor="background1"/>
                <w:sz w:val="22"/>
                <w:szCs w:val="22"/>
              </w:rPr>
              <w:t>Programa</w:t>
            </w:r>
          </w:p>
        </w:tc>
        <w:tc>
          <w:tcPr>
            <w:tcW w:w="7026" w:type="dxa"/>
            <w:tcMar>
              <w:top w:w="80" w:type="dxa"/>
              <w:left w:w="120" w:type="dxa"/>
              <w:bottom w:w="80" w:type="dxa"/>
              <w:right w:w="120" w:type="dxa"/>
            </w:tcMar>
          </w:tcPr>
          <w:p w14:paraId="779D08C2" w14:textId="77777777" w:rsidR="00567CAF" w:rsidRPr="00F072E2" w:rsidRDefault="00D86CA1" w:rsidP="00F072E2">
            <w:pPr>
              <w:jc w:val="both"/>
              <w:rPr>
                <w:rFonts w:asciiTheme="minorHAnsi" w:hAnsiTheme="minorHAnsi" w:cstheme="minorHAnsi"/>
                <w:sz w:val="22"/>
                <w:szCs w:val="22"/>
              </w:rPr>
            </w:pPr>
            <w:r w:rsidRPr="00F072E2">
              <w:rPr>
                <w:rFonts w:asciiTheme="minorHAnsi" w:hAnsiTheme="minorHAnsi" w:cstheme="minorHAnsi"/>
                <w:sz w:val="22"/>
                <w:szCs w:val="22"/>
              </w:rPr>
              <w:t>Programa EUROCLIMA – Diálogo País en el marco de la solicitud de Costa Rica</w:t>
            </w:r>
          </w:p>
        </w:tc>
      </w:tr>
      <w:tr w:rsidR="00567CAF" w:rsidRPr="00F072E2" w14:paraId="0A21CED4" w14:textId="77777777" w:rsidTr="00F072E2">
        <w:tc>
          <w:tcPr>
            <w:tcW w:w="2000" w:type="dxa"/>
            <w:shd w:val="clear" w:color="auto" w:fill="2F5496" w:themeFill="accent5" w:themeFillShade="BF"/>
            <w:tcMar>
              <w:top w:w="80" w:type="dxa"/>
              <w:left w:w="120" w:type="dxa"/>
              <w:bottom w:w="80" w:type="dxa"/>
              <w:right w:w="120" w:type="dxa"/>
            </w:tcMar>
          </w:tcPr>
          <w:p w14:paraId="056F03A7" w14:textId="77777777" w:rsidR="00567CAF" w:rsidRPr="00F072E2" w:rsidRDefault="00D86CA1" w:rsidP="00F072E2">
            <w:pPr>
              <w:jc w:val="both"/>
              <w:rPr>
                <w:rFonts w:asciiTheme="minorHAnsi" w:hAnsiTheme="minorHAnsi" w:cstheme="minorHAnsi"/>
                <w:color w:val="FFFFFF" w:themeColor="background1"/>
                <w:sz w:val="22"/>
                <w:szCs w:val="22"/>
              </w:rPr>
            </w:pPr>
            <w:r w:rsidRPr="00F072E2">
              <w:rPr>
                <w:rFonts w:asciiTheme="minorHAnsi" w:hAnsiTheme="minorHAnsi" w:cstheme="minorHAnsi"/>
                <w:b/>
                <w:color w:val="FFFFFF" w:themeColor="background1"/>
                <w:sz w:val="22"/>
                <w:szCs w:val="22"/>
              </w:rPr>
              <w:t>Acción</w:t>
            </w:r>
          </w:p>
        </w:tc>
        <w:tc>
          <w:tcPr>
            <w:tcW w:w="7026" w:type="dxa"/>
            <w:tcMar>
              <w:top w:w="80" w:type="dxa"/>
              <w:left w:w="120" w:type="dxa"/>
              <w:bottom w:w="80" w:type="dxa"/>
              <w:right w:w="120" w:type="dxa"/>
            </w:tcMar>
          </w:tcPr>
          <w:p w14:paraId="0EEBE0F5" w14:textId="77777777" w:rsidR="00567CAF" w:rsidRPr="00F072E2" w:rsidRDefault="00D86CA1" w:rsidP="00F072E2">
            <w:pPr>
              <w:jc w:val="both"/>
              <w:rPr>
                <w:rFonts w:asciiTheme="minorHAnsi" w:hAnsiTheme="minorHAnsi" w:cstheme="minorHAnsi"/>
                <w:sz w:val="22"/>
                <w:szCs w:val="22"/>
              </w:rPr>
            </w:pPr>
            <w:r w:rsidRPr="00F072E2">
              <w:rPr>
                <w:rFonts w:asciiTheme="minorHAnsi" w:hAnsiTheme="minorHAnsi" w:cstheme="minorHAnsi"/>
                <w:sz w:val="22"/>
                <w:szCs w:val="22"/>
              </w:rPr>
              <w:t>Diversificación de fuentes de financiamiento para inversiones ambientales y climáticas en Costa Rica</w:t>
            </w:r>
          </w:p>
        </w:tc>
      </w:tr>
      <w:tr w:rsidR="00567CAF" w:rsidRPr="00F072E2" w14:paraId="55B173C3" w14:textId="77777777" w:rsidTr="00F072E2">
        <w:tc>
          <w:tcPr>
            <w:tcW w:w="2000" w:type="dxa"/>
            <w:shd w:val="clear" w:color="auto" w:fill="2F5496" w:themeFill="accent5" w:themeFillShade="BF"/>
            <w:tcMar>
              <w:top w:w="80" w:type="dxa"/>
              <w:left w:w="120" w:type="dxa"/>
              <w:bottom w:w="80" w:type="dxa"/>
              <w:right w:w="120" w:type="dxa"/>
            </w:tcMar>
          </w:tcPr>
          <w:p w14:paraId="4E085ADB" w14:textId="77777777" w:rsidR="00567CAF" w:rsidRPr="00F072E2" w:rsidRDefault="00D86CA1" w:rsidP="00F072E2">
            <w:pPr>
              <w:jc w:val="both"/>
              <w:rPr>
                <w:rFonts w:asciiTheme="minorHAnsi" w:hAnsiTheme="minorHAnsi" w:cstheme="minorHAnsi"/>
                <w:color w:val="FFFFFF" w:themeColor="background1"/>
                <w:sz w:val="22"/>
                <w:szCs w:val="22"/>
              </w:rPr>
            </w:pPr>
            <w:r w:rsidRPr="00F072E2">
              <w:rPr>
                <w:rFonts w:asciiTheme="minorHAnsi" w:hAnsiTheme="minorHAnsi" w:cstheme="minorHAnsi"/>
                <w:b/>
                <w:color w:val="FFFFFF" w:themeColor="background1"/>
                <w:sz w:val="22"/>
                <w:szCs w:val="22"/>
              </w:rPr>
              <w:t>Beneficiarios</w:t>
            </w:r>
          </w:p>
        </w:tc>
        <w:tc>
          <w:tcPr>
            <w:tcW w:w="7026" w:type="dxa"/>
            <w:tcMar>
              <w:top w:w="80" w:type="dxa"/>
              <w:left w:w="120" w:type="dxa"/>
              <w:bottom w:w="80" w:type="dxa"/>
              <w:right w:w="120" w:type="dxa"/>
            </w:tcMar>
          </w:tcPr>
          <w:p w14:paraId="3192541C" w14:textId="77777777" w:rsidR="00567CAF" w:rsidRPr="00F072E2" w:rsidRDefault="00D86CA1" w:rsidP="00F072E2">
            <w:pPr>
              <w:jc w:val="both"/>
              <w:rPr>
                <w:rFonts w:asciiTheme="minorHAnsi" w:hAnsiTheme="minorHAnsi" w:cstheme="minorHAnsi"/>
                <w:sz w:val="22"/>
                <w:szCs w:val="22"/>
              </w:rPr>
            </w:pPr>
            <w:r w:rsidRPr="00F072E2">
              <w:rPr>
                <w:rFonts w:asciiTheme="minorHAnsi" w:hAnsiTheme="minorHAnsi" w:cstheme="minorHAnsi"/>
                <w:sz w:val="22"/>
                <w:szCs w:val="22"/>
              </w:rPr>
              <w:t>FONAFIFO – MINAE / Ministerio de Hacienda / Sector forestal y agropecuario / Sector financiero nacional / Cooperación internacional</w:t>
            </w:r>
          </w:p>
        </w:tc>
      </w:tr>
      <w:tr w:rsidR="00567CAF" w:rsidRPr="00F072E2" w14:paraId="363E4737" w14:textId="77777777" w:rsidTr="00F072E2">
        <w:tc>
          <w:tcPr>
            <w:tcW w:w="2000" w:type="dxa"/>
            <w:shd w:val="clear" w:color="auto" w:fill="2F5496" w:themeFill="accent5" w:themeFillShade="BF"/>
            <w:tcMar>
              <w:top w:w="80" w:type="dxa"/>
              <w:left w:w="120" w:type="dxa"/>
              <w:bottom w:w="80" w:type="dxa"/>
              <w:right w:w="120" w:type="dxa"/>
            </w:tcMar>
          </w:tcPr>
          <w:p w14:paraId="13B2E585" w14:textId="77777777" w:rsidR="00567CAF" w:rsidRPr="00F072E2" w:rsidRDefault="00D86CA1" w:rsidP="00F072E2">
            <w:pPr>
              <w:jc w:val="both"/>
              <w:rPr>
                <w:rFonts w:asciiTheme="minorHAnsi" w:hAnsiTheme="minorHAnsi" w:cstheme="minorHAnsi"/>
                <w:color w:val="FFFFFF" w:themeColor="background1"/>
                <w:sz w:val="22"/>
                <w:szCs w:val="22"/>
              </w:rPr>
            </w:pPr>
            <w:r w:rsidRPr="00F072E2">
              <w:rPr>
                <w:rFonts w:asciiTheme="minorHAnsi" w:hAnsiTheme="minorHAnsi" w:cstheme="minorHAnsi"/>
                <w:b/>
                <w:color w:val="FFFFFF" w:themeColor="background1"/>
                <w:sz w:val="22"/>
                <w:szCs w:val="22"/>
              </w:rPr>
              <w:t>País</w:t>
            </w:r>
          </w:p>
        </w:tc>
        <w:tc>
          <w:tcPr>
            <w:tcW w:w="7026" w:type="dxa"/>
            <w:tcMar>
              <w:top w:w="80" w:type="dxa"/>
              <w:left w:w="120" w:type="dxa"/>
              <w:bottom w:w="80" w:type="dxa"/>
              <w:right w:w="120" w:type="dxa"/>
            </w:tcMar>
          </w:tcPr>
          <w:p w14:paraId="511BE573" w14:textId="77777777" w:rsidR="00567CAF" w:rsidRPr="00F072E2" w:rsidRDefault="00D86CA1" w:rsidP="00F072E2">
            <w:pPr>
              <w:jc w:val="both"/>
              <w:rPr>
                <w:rFonts w:asciiTheme="minorHAnsi" w:hAnsiTheme="minorHAnsi" w:cstheme="minorHAnsi"/>
                <w:sz w:val="22"/>
                <w:szCs w:val="22"/>
              </w:rPr>
            </w:pPr>
            <w:r w:rsidRPr="00F072E2">
              <w:rPr>
                <w:rFonts w:asciiTheme="minorHAnsi" w:hAnsiTheme="minorHAnsi" w:cstheme="minorHAnsi"/>
                <w:sz w:val="22"/>
                <w:szCs w:val="22"/>
              </w:rPr>
              <w:t>Costa Rica</w:t>
            </w:r>
          </w:p>
        </w:tc>
      </w:tr>
      <w:tr w:rsidR="00567CAF" w:rsidRPr="00F072E2" w14:paraId="432C8E4F" w14:textId="77777777" w:rsidTr="00F072E2">
        <w:tc>
          <w:tcPr>
            <w:tcW w:w="2000" w:type="dxa"/>
            <w:shd w:val="clear" w:color="auto" w:fill="2F5496" w:themeFill="accent5" w:themeFillShade="BF"/>
            <w:tcMar>
              <w:top w:w="80" w:type="dxa"/>
              <w:left w:w="120" w:type="dxa"/>
              <w:bottom w:w="80" w:type="dxa"/>
              <w:right w:w="120" w:type="dxa"/>
            </w:tcMar>
          </w:tcPr>
          <w:p w14:paraId="0E3EEC0A" w14:textId="77777777" w:rsidR="00567CAF" w:rsidRPr="00F072E2" w:rsidRDefault="00D86CA1" w:rsidP="00F072E2">
            <w:pPr>
              <w:jc w:val="both"/>
              <w:rPr>
                <w:rFonts w:asciiTheme="minorHAnsi" w:hAnsiTheme="minorHAnsi" w:cstheme="minorHAnsi"/>
                <w:color w:val="FFFFFF" w:themeColor="background1"/>
                <w:sz w:val="22"/>
                <w:szCs w:val="22"/>
              </w:rPr>
            </w:pPr>
            <w:r w:rsidRPr="00F072E2">
              <w:rPr>
                <w:rFonts w:asciiTheme="minorHAnsi" w:hAnsiTheme="minorHAnsi" w:cstheme="minorHAnsi"/>
                <w:b/>
                <w:color w:val="FFFFFF" w:themeColor="background1"/>
                <w:sz w:val="22"/>
                <w:szCs w:val="22"/>
              </w:rPr>
              <w:t>Período de trabajo</w:t>
            </w:r>
          </w:p>
        </w:tc>
        <w:tc>
          <w:tcPr>
            <w:tcW w:w="7026" w:type="dxa"/>
            <w:tcMar>
              <w:top w:w="80" w:type="dxa"/>
              <w:left w:w="120" w:type="dxa"/>
              <w:bottom w:w="80" w:type="dxa"/>
              <w:right w:w="120" w:type="dxa"/>
            </w:tcMar>
          </w:tcPr>
          <w:p w14:paraId="1EF1F40E" w14:textId="792563FC" w:rsidR="00567CAF" w:rsidRPr="00F072E2" w:rsidRDefault="0085673A" w:rsidP="00F072E2">
            <w:pPr>
              <w:jc w:val="both"/>
              <w:rPr>
                <w:rFonts w:asciiTheme="minorHAnsi" w:hAnsiTheme="minorHAnsi" w:cstheme="minorHAnsi"/>
                <w:sz w:val="22"/>
                <w:szCs w:val="22"/>
              </w:rPr>
            </w:pPr>
            <w:r>
              <w:rPr>
                <w:rFonts w:asciiTheme="minorHAnsi" w:hAnsiTheme="minorHAnsi" w:cstheme="minorHAnsi"/>
                <w:sz w:val="22"/>
                <w:szCs w:val="22"/>
              </w:rPr>
              <w:t>10</w:t>
            </w:r>
            <w:r w:rsidR="0086507D">
              <w:rPr>
                <w:rFonts w:asciiTheme="minorHAnsi" w:hAnsiTheme="minorHAnsi" w:cstheme="minorHAnsi"/>
                <w:sz w:val="22"/>
                <w:szCs w:val="22"/>
              </w:rPr>
              <w:t xml:space="preserve"> </w:t>
            </w:r>
            <w:r w:rsidR="00D86CA1" w:rsidRPr="00F072E2">
              <w:rPr>
                <w:rFonts w:asciiTheme="minorHAnsi" w:hAnsiTheme="minorHAnsi" w:cstheme="minorHAnsi"/>
                <w:sz w:val="22"/>
                <w:szCs w:val="22"/>
              </w:rPr>
              <w:t>meses</w:t>
            </w:r>
          </w:p>
        </w:tc>
      </w:tr>
    </w:tbl>
    <w:p w14:paraId="1F5C42A5" w14:textId="77777777" w:rsidR="00567CAF" w:rsidRPr="00F072E2" w:rsidRDefault="00567CAF" w:rsidP="00F072E2">
      <w:pPr>
        <w:spacing w:after="80"/>
        <w:jc w:val="both"/>
        <w:rPr>
          <w:rFonts w:asciiTheme="minorHAnsi" w:hAnsiTheme="minorHAnsi" w:cstheme="minorHAnsi"/>
          <w:sz w:val="22"/>
          <w:szCs w:val="22"/>
        </w:rPr>
      </w:pPr>
    </w:p>
    <w:p w14:paraId="31757488"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2. CONTEXTO Y JUSTIFICACIÓN</w:t>
      </w:r>
    </w:p>
    <w:p w14:paraId="02044EEA" w14:textId="77777777" w:rsidR="00567CAF" w:rsidRPr="00F072E2" w:rsidRDefault="00D86CA1" w:rsidP="00F072E2">
      <w:pPr>
        <w:pStyle w:val="Ttulo2"/>
        <w:jc w:val="both"/>
        <w:rPr>
          <w:rFonts w:cstheme="minorHAnsi"/>
          <w:sz w:val="22"/>
          <w:szCs w:val="22"/>
        </w:rPr>
      </w:pPr>
      <w:r w:rsidRPr="00F072E2">
        <w:rPr>
          <w:rFonts w:cstheme="minorHAnsi"/>
          <w:sz w:val="22"/>
          <w:szCs w:val="22"/>
        </w:rPr>
        <w:t>2.1 Expertise France</w:t>
      </w:r>
    </w:p>
    <w:p w14:paraId="7A5421C0"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Expertise France (expertisefrance.fr) es la agencia pública encargada de la cooperación técnica internacional de Francia. Diseña y ejecuta proyectos que refuerzan de manera sostenible las políticas públicas en los países en desarrollo y emergentes, en los ámbitos de gobernanza, seguridad, clima, salud y educación. Desde el </w:t>
      </w:r>
      <w:proofErr w:type="gramStart"/>
      <w:r w:rsidRPr="00F072E2">
        <w:rPr>
          <w:rFonts w:asciiTheme="minorHAnsi" w:hAnsiTheme="minorHAnsi" w:cstheme="minorHAnsi"/>
          <w:sz w:val="22"/>
          <w:szCs w:val="22"/>
        </w:rPr>
        <w:t>1.°</w:t>
      </w:r>
      <w:proofErr w:type="gramEnd"/>
      <w:r w:rsidRPr="00F072E2">
        <w:rPr>
          <w:rFonts w:asciiTheme="minorHAnsi" w:hAnsiTheme="minorHAnsi" w:cstheme="minorHAnsi"/>
          <w:sz w:val="22"/>
          <w:szCs w:val="22"/>
        </w:rPr>
        <w:t xml:space="preserve"> de enero de 2022 es filial de la Agencia Francesa de Desarrollo (Grupo AFD). Con un volumen de actividad de 341 millones de euros, Expertise France interviene en 145 países, maneja más de 380 proyectos y cuenta con más de 625 empleados en su sede de París y más de 600 socios en el mundo.</w:t>
      </w:r>
    </w:p>
    <w:p w14:paraId="089FAC2E" w14:textId="77777777" w:rsidR="00567CAF" w:rsidRPr="00F072E2" w:rsidRDefault="00567CAF" w:rsidP="00F072E2">
      <w:pPr>
        <w:spacing w:after="80"/>
        <w:jc w:val="both"/>
        <w:rPr>
          <w:rFonts w:asciiTheme="minorHAnsi" w:hAnsiTheme="minorHAnsi" w:cstheme="minorHAnsi"/>
          <w:sz w:val="22"/>
          <w:szCs w:val="22"/>
        </w:rPr>
      </w:pPr>
    </w:p>
    <w:p w14:paraId="709D1AA1"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En América Latina, Expertise France interviene principalmente con proyectos o programas regionales. En octubre de 2018 se abrió la primera oficina en Bogotá, Colombia, con el objetivo de implementar el programa EUROCLIMA financiado por la Unión Europea.</w:t>
      </w:r>
    </w:p>
    <w:p w14:paraId="56137BFC" w14:textId="77777777" w:rsidR="00567CAF" w:rsidRPr="00F072E2" w:rsidRDefault="00567CAF" w:rsidP="00F072E2">
      <w:pPr>
        <w:spacing w:after="80"/>
        <w:jc w:val="both"/>
        <w:rPr>
          <w:rFonts w:asciiTheme="minorHAnsi" w:hAnsiTheme="minorHAnsi" w:cstheme="minorHAnsi"/>
          <w:sz w:val="22"/>
          <w:szCs w:val="22"/>
        </w:rPr>
      </w:pPr>
    </w:p>
    <w:p w14:paraId="44886929" w14:textId="77777777" w:rsidR="00567CAF" w:rsidRPr="00F072E2" w:rsidRDefault="00D86CA1" w:rsidP="00F072E2">
      <w:pPr>
        <w:pStyle w:val="Ttulo2"/>
        <w:jc w:val="both"/>
        <w:rPr>
          <w:rFonts w:cstheme="minorHAnsi"/>
          <w:sz w:val="22"/>
          <w:szCs w:val="22"/>
        </w:rPr>
      </w:pPr>
      <w:r w:rsidRPr="00F072E2">
        <w:rPr>
          <w:rFonts w:cstheme="minorHAnsi"/>
          <w:sz w:val="22"/>
          <w:szCs w:val="22"/>
        </w:rPr>
        <w:t>2.2 El programa EUROCLIMA</w:t>
      </w:r>
    </w:p>
    <w:p w14:paraId="403711FA" w14:textId="468B6BFA"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 programa Iniciativa de Transición Verde en América Latina y el Caribe — EUROCLIMA LAC</w:t>
      </w:r>
      <w:r w:rsidR="00F072E2" w:rsidRPr="00F072E2">
        <w:rPr>
          <w:rFonts w:asciiTheme="minorHAnsi" w:hAnsiTheme="minorHAnsi" w:cstheme="minorHAnsi"/>
          <w:sz w:val="22"/>
          <w:szCs w:val="22"/>
        </w:rPr>
        <w:t xml:space="preserve"> </w:t>
      </w:r>
      <w:r w:rsidRPr="00F072E2">
        <w:rPr>
          <w:rFonts w:asciiTheme="minorHAnsi" w:hAnsiTheme="minorHAnsi" w:cstheme="minorHAnsi"/>
          <w:sz w:val="22"/>
          <w:szCs w:val="22"/>
        </w:rPr>
        <w:t>es un programa de cooperación regional de la Comisión Europea cuyo objetivo es contribuir a la Transición Verde de la región a través de esfuerzos de mitigación y adaptación climática y de protección de la biodiversidad. EUROCLIMA LAC apoya el desarrollo, la operacionalización/alistamiento para implementación y el monitoreo de las Estrategias a Largo Plazo alineadas con las Contribuciones Determinadas a Nivel Nacional (NDC).</w:t>
      </w:r>
    </w:p>
    <w:p w14:paraId="333FA2F8" w14:textId="77777777" w:rsidR="00CC3B57" w:rsidRPr="00F072E2" w:rsidRDefault="00CC3B57" w:rsidP="00CC3B57">
      <w:pPr>
        <w:jc w:val="both"/>
        <w:rPr>
          <w:rFonts w:asciiTheme="minorHAnsi" w:hAnsiTheme="minorHAnsi" w:cstheme="minorHAnsi"/>
          <w:sz w:val="22"/>
          <w:szCs w:val="22"/>
          <w:lang w:eastAsia="es-ES"/>
        </w:rPr>
      </w:pPr>
      <w:r w:rsidRPr="00F072E2">
        <w:rPr>
          <w:rFonts w:asciiTheme="minorHAnsi" w:hAnsiTheme="minorHAnsi" w:cstheme="minorHAnsi"/>
          <w:sz w:val="22"/>
          <w:szCs w:val="22"/>
        </w:rPr>
        <w:lastRenderedPageBreak/>
        <w:t>La iniciativa de “Transición Verde en América Latina y el Caribe” (“</w:t>
      </w:r>
      <w:proofErr w:type="spellStart"/>
      <w:r w:rsidRPr="00F072E2">
        <w:rPr>
          <w:rFonts w:asciiTheme="minorHAnsi" w:hAnsiTheme="minorHAnsi" w:cstheme="minorHAnsi"/>
          <w:i/>
          <w:color w:val="000000" w:themeColor="text1"/>
          <w:sz w:val="22"/>
          <w:szCs w:val="22"/>
        </w:rPr>
        <w:t>Latin</w:t>
      </w:r>
      <w:proofErr w:type="spellEnd"/>
      <w:r w:rsidRPr="00F072E2">
        <w:rPr>
          <w:rFonts w:asciiTheme="minorHAnsi" w:hAnsiTheme="minorHAnsi" w:cstheme="minorHAnsi"/>
          <w:i/>
          <w:color w:val="000000" w:themeColor="text1"/>
          <w:sz w:val="22"/>
          <w:szCs w:val="22"/>
        </w:rPr>
        <w:t xml:space="preserve"> America and Caribbean Green </w:t>
      </w:r>
      <w:proofErr w:type="spellStart"/>
      <w:r w:rsidRPr="00F072E2">
        <w:rPr>
          <w:rFonts w:asciiTheme="minorHAnsi" w:hAnsiTheme="minorHAnsi" w:cstheme="minorHAnsi"/>
          <w:i/>
          <w:color w:val="000000" w:themeColor="text1"/>
          <w:sz w:val="22"/>
          <w:szCs w:val="22"/>
        </w:rPr>
        <w:t>Transition</w:t>
      </w:r>
      <w:proofErr w:type="spellEnd"/>
      <w:r w:rsidRPr="00F072E2">
        <w:rPr>
          <w:rFonts w:asciiTheme="minorHAnsi" w:hAnsiTheme="minorHAnsi" w:cstheme="minorHAnsi"/>
          <w:i/>
          <w:color w:val="000000" w:themeColor="text1"/>
          <w:sz w:val="22"/>
          <w:szCs w:val="22"/>
        </w:rPr>
        <w:t xml:space="preserve"> </w:t>
      </w:r>
      <w:proofErr w:type="spellStart"/>
      <w:r w:rsidRPr="00F072E2">
        <w:rPr>
          <w:rFonts w:asciiTheme="minorHAnsi" w:hAnsiTheme="minorHAnsi" w:cstheme="minorHAnsi"/>
          <w:i/>
          <w:color w:val="000000" w:themeColor="text1"/>
          <w:sz w:val="22"/>
          <w:szCs w:val="22"/>
        </w:rPr>
        <w:t>Initiative</w:t>
      </w:r>
      <w:proofErr w:type="spellEnd"/>
      <w:r w:rsidRPr="00F072E2">
        <w:rPr>
          <w:rFonts w:asciiTheme="minorHAnsi" w:hAnsiTheme="minorHAnsi" w:cstheme="minorHAnsi"/>
          <w:color w:val="000000" w:themeColor="text1"/>
          <w:sz w:val="22"/>
          <w:szCs w:val="22"/>
        </w:rPr>
        <w:t>”) ha permitido</w:t>
      </w:r>
      <w:r w:rsidRPr="00F072E2">
        <w:rPr>
          <w:rFonts w:asciiTheme="minorHAnsi" w:hAnsiTheme="minorHAnsi" w:cstheme="minorHAnsi"/>
          <w:sz w:val="22"/>
          <w:szCs w:val="22"/>
        </w:rPr>
        <w:t xml:space="preserve"> financiar el Programa Euroclima, programa de cooperación regional de la Comisión Europea, que tiene como objetivo </w:t>
      </w:r>
      <w:r w:rsidRPr="00F072E2">
        <w:rPr>
          <w:rFonts w:asciiTheme="minorHAnsi" w:hAnsiTheme="minorHAnsi" w:cstheme="minorHAnsi"/>
          <w:sz w:val="22"/>
          <w:szCs w:val="22"/>
          <w:lang w:eastAsia="es-ES"/>
        </w:rPr>
        <w:t xml:space="preserve">contribuir a la Transición Verde en América Latina y el Caribe, a través de un apoyo a los esfuerzos de mitigación y adaptación al cambio climático y de protección y conservación de la diversidad biológica. </w:t>
      </w:r>
    </w:p>
    <w:p w14:paraId="2B5BC283" w14:textId="77777777" w:rsidR="00CC3B57" w:rsidRPr="00F072E2" w:rsidRDefault="00CC3B57" w:rsidP="00CC3B57">
      <w:pPr>
        <w:jc w:val="both"/>
        <w:rPr>
          <w:rFonts w:asciiTheme="minorHAnsi" w:hAnsiTheme="minorHAnsi" w:cstheme="minorHAnsi"/>
          <w:sz w:val="22"/>
          <w:szCs w:val="22"/>
          <w:lang w:eastAsia="es-ES"/>
        </w:rPr>
      </w:pPr>
    </w:p>
    <w:p w14:paraId="7A41DAD3" w14:textId="77777777" w:rsidR="00CC3B57" w:rsidRPr="00F072E2" w:rsidRDefault="00CC3B57" w:rsidP="00CC3B57">
      <w:pPr>
        <w:jc w:val="both"/>
        <w:rPr>
          <w:rFonts w:asciiTheme="minorHAnsi" w:hAnsiTheme="minorHAnsi" w:cstheme="minorHAnsi"/>
          <w:sz w:val="22"/>
          <w:szCs w:val="22"/>
          <w:lang w:eastAsia="es-ES"/>
        </w:rPr>
      </w:pPr>
      <w:r w:rsidRPr="00F072E2">
        <w:rPr>
          <w:rFonts w:asciiTheme="minorHAnsi" w:hAnsiTheme="minorHAnsi" w:cstheme="minorHAnsi"/>
          <w:sz w:val="22"/>
          <w:szCs w:val="22"/>
          <w:lang w:eastAsia="es-ES"/>
        </w:rPr>
        <w:t xml:space="preserve">EUROCLIMA LAC es un programa financiado por la UE para apoyar a los países de América Latina y el Caribe (ALC) en sus esfuerzos de adaptación y mitigación del cambio climático. Este programa tiene como objetivo fortalecer el diálogo sobre el clima con los </w:t>
      </w:r>
      <w:r w:rsidRPr="00F072E2">
        <w:rPr>
          <w:rFonts w:asciiTheme="minorHAnsi" w:hAnsiTheme="minorHAnsi" w:cstheme="minorHAnsi"/>
          <w:sz w:val="22"/>
          <w:szCs w:val="22"/>
        </w:rPr>
        <w:t xml:space="preserve">17 </w:t>
      </w:r>
      <w:r w:rsidRPr="00F072E2">
        <w:rPr>
          <w:rFonts w:asciiTheme="minorHAnsi" w:hAnsiTheme="minorHAnsi" w:cstheme="minorHAnsi"/>
          <w:sz w:val="22"/>
          <w:szCs w:val="22"/>
          <w:lang w:eastAsia="es-ES"/>
        </w:rPr>
        <w:t>países socios, prestando mayor atención a la biodiversidad en coherencia con la estrategia de la UE para América Latina: "</w:t>
      </w:r>
      <w:hyperlink r:id="rId8" w:history="1">
        <w:r w:rsidRPr="00F072E2">
          <w:rPr>
            <w:rStyle w:val="Hipervnculo"/>
            <w:rFonts w:asciiTheme="minorHAnsi" w:hAnsiTheme="minorHAnsi" w:cstheme="minorHAnsi"/>
            <w:sz w:val="22"/>
            <w:szCs w:val="22"/>
          </w:rPr>
          <w:t>Más allá del jaguar</w:t>
        </w:r>
      </w:hyperlink>
      <w:r w:rsidRPr="00F072E2">
        <w:rPr>
          <w:rFonts w:asciiTheme="minorHAnsi" w:hAnsiTheme="minorHAnsi" w:cstheme="minorHAnsi"/>
          <w:sz w:val="22"/>
          <w:szCs w:val="22"/>
        </w:rPr>
        <w:t>”</w:t>
      </w:r>
      <w:r w:rsidRPr="00F072E2">
        <w:rPr>
          <w:rFonts w:asciiTheme="minorHAnsi" w:hAnsiTheme="minorHAnsi" w:cstheme="minorHAnsi"/>
          <w:sz w:val="22"/>
          <w:szCs w:val="22"/>
          <w:lang w:eastAsia="es-ES"/>
        </w:rPr>
        <w:t xml:space="preserve">. </w:t>
      </w:r>
    </w:p>
    <w:p w14:paraId="4B74DC8B" w14:textId="77777777" w:rsidR="00CC3B57" w:rsidRPr="00F072E2" w:rsidRDefault="00CC3B57" w:rsidP="00CC3B57">
      <w:pPr>
        <w:jc w:val="both"/>
        <w:rPr>
          <w:rFonts w:asciiTheme="minorHAnsi" w:hAnsiTheme="minorHAnsi" w:cstheme="minorHAnsi"/>
          <w:sz w:val="22"/>
          <w:szCs w:val="22"/>
          <w:lang w:eastAsia="es-ES"/>
        </w:rPr>
      </w:pPr>
    </w:p>
    <w:p w14:paraId="5D3D9F21" w14:textId="77777777" w:rsidR="00CC3B57" w:rsidRPr="00F072E2" w:rsidRDefault="00CC3B57" w:rsidP="00CC3B57">
      <w:pPr>
        <w:jc w:val="both"/>
        <w:rPr>
          <w:rFonts w:asciiTheme="minorHAnsi" w:hAnsiTheme="minorHAnsi" w:cstheme="minorHAnsi"/>
          <w:sz w:val="22"/>
          <w:szCs w:val="22"/>
          <w:lang w:eastAsia="es-ES"/>
        </w:rPr>
      </w:pPr>
      <w:r w:rsidRPr="00F072E2">
        <w:rPr>
          <w:rFonts w:asciiTheme="minorHAnsi" w:hAnsiTheme="minorHAnsi" w:cstheme="minorHAnsi"/>
          <w:sz w:val="22"/>
          <w:szCs w:val="22"/>
          <w:lang w:eastAsia="es-ES"/>
        </w:rPr>
        <w:t xml:space="preserve">En este sentido, busca acompañar el desarrollo, la implementación y el monitoreo de las Estrategias a Largo Plazo alineadas con las Contribuciones Determinadas a Nivel Nacional (NDC) de los </w:t>
      </w:r>
      <w:r w:rsidRPr="00F072E2">
        <w:rPr>
          <w:rFonts w:asciiTheme="minorHAnsi" w:hAnsiTheme="minorHAnsi" w:cstheme="minorHAnsi"/>
          <w:sz w:val="22"/>
          <w:szCs w:val="22"/>
        </w:rPr>
        <w:t xml:space="preserve">países latinoamericanos </w:t>
      </w:r>
      <w:r w:rsidRPr="00F072E2">
        <w:rPr>
          <w:rFonts w:asciiTheme="minorHAnsi" w:hAnsiTheme="minorHAnsi" w:cstheme="minorHAnsi"/>
          <w:sz w:val="22"/>
          <w:szCs w:val="22"/>
          <w:lang w:eastAsia="es-ES"/>
        </w:rPr>
        <w:t xml:space="preserve">y de sus compromisos en el marco global de biodiversidad post-2020. </w:t>
      </w:r>
    </w:p>
    <w:p w14:paraId="200E9EA4" w14:textId="77777777" w:rsidR="00CC3B57" w:rsidRPr="00F072E2" w:rsidRDefault="00CC3B57" w:rsidP="00CC3B57">
      <w:pPr>
        <w:jc w:val="both"/>
        <w:rPr>
          <w:rFonts w:asciiTheme="minorHAnsi" w:hAnsiTheme="minorHAnsi" w:cstheme="minorHAnsi"/>
          <w:sz w:val="22"/>
          <w:szCs w:val="22"/>
          <w:lang w:eastAsia="es-ES"/>
        </w:rPr>
      </w:pPr>
    </w:p>
    <w:p w14:paraId="6BE8B166" w14:textId="77777777" w:rsidR="00CC3B57" w:rsidRPr="00F072E2" w:rsidRDefault="00CC3B57" w:rsidP="00CC3B57">
      <w:pPr>
        <w:jc w:val="both"/>
        <w:rPr>
          <w:rFonts w:asciiTheme="minorHAnsi" w:hAnsiTheme="minorHAnsi" w:cstheme="minorHAnsi"/>
          <w:sz w:val="22"/>
          <w:szCs w:val="22"/>
        </w:rPr>
      </w:pPr>
      <w:r w:rsidRPr="00F072E2">
        <w:rPr>
          <w:rFonts w:asciiTheme="minorHAnsi" w:hAnsiTheme="minorHAnsi" w:cstheme="minorHAnsi"/>
          <w:sz w:val="22"/>
          <w:szCs w:val="22"/>
        </w:rPr>
        <w:t xml:space="preserve">El programa es implementado por cinco agencias de países miembros de la Unión Europea y dos agencias de las Naciones Unidas, incluyendo Expertise France. </w:t>
      </w:r>
    </w:p>
    <w:p w14:paraId="1BB9739F" w14:textId="77777777" w:rsidR="00567CAF" w:rsidRPr="00F072E2" w:rsidRDefault="00567CAF" w:rsidP="00F072E2">
      <w:pPr>
        <w:spacing w:after="80"/>
        <w:jc w:val="both"/>
        <w:rPr>
          <w:rFonts w:asciiTheme="minorHAnsi" w:hAnsiTheme="minorHAnsi" w:cstheme="minorHAnsi"/>
          <w:sz w:val="22"/>
          <w:szCs w:val="22"/>
        </w:rPr>
      </w:pPr>
    </w:p>
    <w:p w14:paraId="34955F66" w14:textId="20253AE3"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En el caso de Costa Rica, la Acción se orienta a fortalecer la movilización de financiamiento climático alineado con las prioridades de la Unión Europea, incluyendo el </w:t>
      </w:r>
      <w:proofErr w:type="spellStart"/>
      <w:r w:rsidRPr="00F072E2">
        <w:rPr>
          <w:rFonts w:asciiTheme="minorHAnsi" w:hAnsiTheme="minorHAnsi" w:cstheme="minorHAnsi"/>
          <w:sz w:val="22"/>
          <w:szCs w:val="22"/>
        </w:rPr>
        <w:t>European</w:t>
      </w:r>
      <w:proofErr w:type="spellEnd"/>
      <w:r w:rsidRPr="00F072E2">
        <w:rPr>
          <w:rFonts w:asciiTheme="minorHAnsi" w:hAnsiTheme="minorHAnsi" w:cstheme="minorHAnsi"/>
          <w:sz w:val="22"/>
          <w:szCs w:val="22"/>
        </w:rPr>
        <w:t xml:space="preserve"> Green Deal y </w:t>
      </w:r>
      <w:r w:rsidRPr="00F072E2">
        <w:rPr>
          <w:rFonts w:asciiTheme="minorHAnsi" w:hAnsiTheme="minorHAnsi" w:cstheme="minorHAnsi"/>
          <w:b/>
          <w:bCs/>
          <w:sz w:val="22"/>
          <w:szCs w:val="22"/>
        </w:rPr>
        <w:t>el Global Gateway — instrumento estratégico de cooperación e inversión de la Unión Europea</w:t>
      </w:r>
      <w:r w:rsidRPr="00F072E2">
        <w:rPr>
          <w:rFonts w:asciiTheme="minorHAnsi" w:hAnsiTheme="minorHAnsi" w:cstheme="minorHAnsi"/>
          <w:sz w:val="22"/>
          <w:szCs w:val="22"/>
        </w:rPr>
        <w:t>. Los productos financieros estructurados facilitarán la canalización de recursos europeos hacia resultados verificables y con integridad ambiental.</w:t>
      </w:r>
    </w:p>
    <w:p w14:paraId="61798E37" w14:textId="77777777" w:rsidR="00567CAF" w:rsidRPr="00F072E2" w:rsidRDefault="00567CAF" w:rsidP="00F072E2">
      <w:pPr>
        <w:spacing w:before="80" w:after="100"/>
        <w:jc w:val="both"/>
        <w:rPr>
          <w:rFonts w:asciiTheme="minorHAnsi" w:hAnsiTheme="minorHAnsi" w:cstheme="minorHAnsi"/>
          <w:sz w:val="22"/>
          <w:szCs w:val="22"/>
        </w:rPr>
      </w:pPr>
    </w:p>
    <w:p w14:paraId="754E4C65" w14:textId="77777777" w:rsidR="00CC3B57" w:rsidRPr="00F072E2" w:rsidRDefault="00CC3B57" w:rsidP="009B207D">
      <w:pPr>
        <w:spacing w:before="80" w:after="100"/>
        <w:jc w:val="both"/>
        <w:rPr>
          <w:rFonts w:asciiTheme="minorHAnsi" w:hAnsiTheme="minorHAnsi" w:cstheme="minorHAnsi"/>
          <w:sz w:val="22"/>
          <w:szCs w:val="22"/>
        </w:rPr>
      </w:pPr>
    </w:p>
    <w:p w14:paraId="748870CF" w14:textId="77777777" w:rsidR="006E7966" w:rsidRPr="00F072E2" w:rsidRDefault="006E7966" w:rsidP="009B207D">
      <w:pPr>
        <w:spacing w:after="80"/>
        <w:jc w:val="both"/>
        <w:rPr>
          <w:rFonts w:asciiTheme="minorHAnsi" w:hAnsiTheme="minorHAnsi" w:cstheme="minorHAnsi"/>
          <w:sz w:val="22"/>
          <w:szCs w:val="22"/>
        </w:rPr>
      </w:pPr>
    </w:p>
    <w:p w14:paraId="0F51BCBC" w14:textId="77777777" w:rsidR="00567CAF" w:rsidRPr="00F072E2" w:rsidRDefault="00D86CA1" w:rsidP="00F072E2">
      <w:pPr>
        <w:pStyle w:val="Ttulo2"/>
        <w:jc w:val="both"/>
        <w:rPr>
          <w:rFonts w:cstheme="minorHAnsi"/>
          <w:sz w:val="22"/>
          <w:szCs w:val="22"/>
        </w:rPr>
      </w:pPr>
      <w:r w:rsidRPr="00F072E2">
        <w:rPr>
          <w:rFonts w:cstheme="minorHAnsi"/>
          <w:sz w:val="22"/>
          <w:szCs w:val="22"/>
        </w:rPr>
        <w:t>2.3 Justificación</w:t>
      </w:r>
    </w:p>
    <w:p w14:paraId="4DC22939" w14:textId="7C4262E8" w:rsidR="00567CAF" w:rsidRPr="00F072E2" w:rsidRDefault="006E7966"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w:t>
      </w:r>
      <w:r w:rsidR="00F072E2" w:rsidRPr="00F072E2">
        <w:rPr>
          <w:rFonts w:asciiTheme="minorHAnsi" w:hAnsiTheme="minorHAnsi" w:cstheme="minorHAnsi"/>
          <w:sz w:val="22"/>
          <w:szCs w:val="22"/>
        </w:rPr>
        <w:t xml:space="preserve"> </w:t>
      </w:r>
      <w:r w:rsidR="005B19CB" w:rsidRPr="00F072E2">
        <w:rPr>
          <w:rFonts w:asciiTheme="minorHAnsi" w:hAnsiTheme="minorHAnsi" w:cstheme="minorHAnsi"/>
          <w:sz w:val="22"/>
          <w:szCs w:val="22"/>
        </w:rPr>
        <w:t xml:space="preserve">Fondo Nacional de Financiamiento Forestal y su </w:t>
      </w:r>
      <w:r w:rsidR="00D86CA1" w:rsidRPr="00F072E2">
        <w:rPr>
          <w:rFonts w:asciiTheme="minorHAnsi" w:hAnsiTheme="minorHAnsi" w:cstheme="minorHAnsi"/>
          <w:sz w:val="22"/>
          <w:szCs w:val="22"/>
        </w:rPr>
        <w:t xml:space="preserve">Programa de Pago por Servicios Ambientales (PSA) de Costa Rica es una institución consolidada y un referente mundial en conservación basada en </w:t>
      </w:r>
      <w:r w:rsidR="005B19CB" w:rsidRPr="00F072E2">
        <w:rPr>
          <w:rFonts w:asciiTheme="minorHAnsi" w:hAnsiTheme="minorHAnsi" w:cstheme="minorHAnsi"/>
          <w:sz w:val="22"/>
          <w:szCs w:val="22"/>
        </w:rPr>
        <w:t xml:space="preserve">instrumentos </w:t>
      </w:r>
      <w:r w:rsidR="00D86CA1" w:rsidRPr="00F072E2">
        <w:rPr>
          <w:rFonts w:asciiTheme="minorHAnsi" w:hAnsiTheme="minorHAnsi" w:cstheme="minorHAnsi"/>
          <w:sz w:val="22"/>
          <w:szCs w:val="22"/>
        </w:rPr>
        <w:t>incentivos económicos. Desde 1997 ha conservado más de 1,</w:t>
      </w:r>
      <w:r w:rsidR="005B19CB" w:rsidRPr="00F072E2">
        <w:rPr>
          <w:rFonts w:asciiTheme="minorHAnsi" w:hAnsiTheme="minorHAnsi" w:cstheme="minorHAnsi"/>
          <w:sz w:val="22"/>
          <w:szCs w:val="22"/>
        </w:rPr>
        <w:t>8</w:t>
      </w:r>
      <w:r w:rsidR="00D86CA1" w:rsidRPr="00F072E2">
        <w:rPr>
          <w:rFonts w:asciiTheme="minorHAnsi" w:hAnsiTheme="minorHAnsi" w:cstheme="minorHAnsi"/>
          <w:sz w:val="22"/>
          <w:szCs w:val="22"/>
        </w:rPr>
        <w:t xml:space="preserve"> millones de hectáreas acumuladas, contribuyendo a recuperar la cobertura forestal a aproximadamente el 60 % del territorio nacional — uno de los logros más documentados en la literatura internacional sobre instrumentos económicos para la conservación (Pagiola, 2008; Porras et al., 2013; CIFOR, 2019). FONAFIFO cuenta hoy con trayectoria institucional probada, capacidad técnica acumulada y reconocimiento internacional como gestor de esquemas de pago por servicios ambientales a escala nacional. Esta solidez institucional es el punto de partida de la presente consultoría.</w:t>
      </w:r>
    </w:p>
    <w:p w14:paraId="2CB46100" w14:textId="77777777" w:rsidR="00567CAF" w:rsidRPr="00F072E2" w:rsidRDefault="00567CAF" w:rsidP="00F072E2">
      <w:pPr>
        <w:spacing w:after="80"/>
        <w:jc w:val="both"/>
        <w:rPr>
          <w:rFonts w:asciiTheme="minorHAnsi" w:hAnsiTheme="minorHAnsi" w:cstheme="minorHAnsi"/>
          <w:sz w:val="22"/>
          <w:szCs w:val="22"/>
        </w:rPr>
      </w:pPr>
    </w:p>
    <w:p w14:paraId="1EFA090E" w14:textId="697150EC"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 PSA enfrenta hoy una transición natural hacia su siguiente fase de madurez. La expansión hacia modalidades marino-costeras (manglares, comunidades pesqueras), agropecuarias (</w:t>
      </w:r>
      <w:proofErr w:type="spellStart"/>
      <w:r w:rsidRPr="00F072E2">
        <w:rPr>
          <w:rFonts w:asciiTheme="minorHAnsi" w:hAnsiTheme="minorHAnsi" w:cstheme="minorHAnsi"/>
          <w:sz w:val="22"/>
          <w:szCs w:val="22"/>
        </w:rPr>
        <w:t>silvopastoreo</w:t>
      </w:r>
      <w:proofErr w:type="spellEnd"/>
      <w:r w:rsidRPr="00F072E2">
        <w:rPr>
          <w:rFonts w:asciiTheme="minorHAnsi" w:hAnsiTheme="minorHAnsi" w:cstheme="minorHAnsi"/>
          <w:sz w:val="22"/>
          <w:szCs w:val="22"/>
        </w:rPr>
        <w:t xml:space="preserve">, agroforestería) y otras eventuales modalidades asociadas a servicios hídricos o territoriales, según definición institucional de FONAFIFO, amplía sustancialmente su potencial de impacto de mediano y largo plazo. Esta evolución requiere una arquitectura financiera más diversificada, dado que las fuentes históricas de financiamiento — en particular el impuesto a los combustibles fósiles— presentan tendencias de reducción estructural en el horizonte de los próximos 10 a 20 años (Angelsen et al., 2023; IPCC AR6 WGIII, 2022). Anticipar esta transición con instrumentos financieros sólidos es una </w:t>
      </w:r>
      <w:r w:rsidRPr="00F072E2">
        <w:rPr>
          <w:rFonts w:asciiTheme="minorHAnsi" w:hAnsiTheme="minorHAnsi" w:cstheme="minorHAnsi"/>
          <w:sz w:val="22"/>
          <w:szCs w:val="22"/>
        </w:rPr>
        <w:lastRenderedPageBreak/>
        <w:t>decisión estratégica de una institución que planifica su futuro con visión de largo plazo, no una respuesta a una crisis.</w:t>
      </w:r>
    </w:p>
    <w:p w14:paraId="793A1F92" w14:textId="77777777" w:rsidR="00567CAF" w:rsidRPr="00F072E2" w:rsidRDefault="00567CAF" w:rsidP="00F072E2">
      <w:pPr>
        <w:spacing w:after="80"/>
        <w:jc w:val="both"/>
        <w:rPr>
          <w:rFonts w:asciiTheme="minorHAnsi" w:hAnsiTheme="minorHAnsi" w:cstheme="minorHAnsi"/>
          <w:sz w:val="22"/>
          <w:szCs w:val="22"/>
        </w:rPr>
      </w:pPr>
    </w:p>
    <w:p w14:paraId="45DA1ACD" w14:textId="47756D53"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La presente consultoría responde a la necesidad de transitar desde un esquema histórico de financiamiento del PSA hacia una </w:t>
      </w:r>
      <w:r w:rsidRPr="00F072E2">
        <w:rPr>
          <w:rFonts w:asciiTheme="minorHAnsi" w:hAnsiTheme="minorHAnsi" w:cstheme="minorHAnsi"/>
          <w:b/>
          <w:bCs/>
          <w:sz w:val="22"/>
          <w:szCs w:val="22"/>
        </w:rPr>
        <w:t>arquitectura operativa financiera diversificada, estructurada y sostenible</w:t>
      </w:r>
      <w:r w:rsidRPr="00F072E2">
        <w:rPr>
          <w:rFonts w:asciiTheme="minorHAnsi" w:hAnsiTheme="minorHAnsi" w:cstheme="minorHAnsi"/>
          <w:sz w:val="22"/>
          <w:szCs w:val="22"/>
        </w:rPr>
        <w:t xml:space="preserve"> que posicione a FONAFIFO como institución con capacidad propia para movilizar y gestionar recursos de manera autónoma y sostenida. Esta arquitectura articula estratégicamente múltiples fuentes y mecanismos — con énfasis prioritario en los instrumentos del </w:t>
      </w:r>
      <w:r w:rsidRPr="00F072E2">
        <w:rPr>
          <w:rFonts w:asciiTheme="minorHAnsi" w:hAnsiTheme="minorHAnsi" w:cstheme="minorHAnsi"/>
          <w:b/>
          <w:bCs/>
          <w:sz w:val="22"/>
          <w:szCs w:val="22"/>
        </w:rPr>
        <w:t>Global Gateway de la Unión Europea</w:t>
      </w:r>
      <w:r w:rsidRPr="00F072E2">
        <w:rPr>
          <w:rFonts w:asciiTheme="minorHAnsi" w:hAnsiTheme="minorHAnsi" w:cstheme="minorHAnsi"/>
          <w:sz w:val="22"/>
          <w:szCs w:val="22"/>
        </w:rPr>
        <w:t xml:space="preserve"> (EFSD+, NDICI-Global Europe, Team Europe </w:t>
      </w:r>
      <w:proofErr w:type="spellStart"/>
      <w:r w:rsidRPr="00F072E2">
        <w:rPr>
          <w:rFonts w:asciiTheme="minorHAnsi" w:hAnsiTheme="minorHAnsi" w:cstheme="minorHAnsi"/>
          <w:sz w:val="22"/>
          <w:szCs w:val="22"/>
        </w:rPr>
        <w:t>Initiatives</w:t>
      </w:r>
      <w:proofErr w:type="spellEnd"/>
      <w:r w:rsidRPr="00F072E2">
        <w:rPr>
          <w:rFonts w:asciiTheme="minorHAnsi" w:hAnsiTheme="minorHAnsi" w:cstheme="minorHAnsi"/>
          <w:sz w:val="22"/>
          <w:szCs w:val="22"/>
        </w:rPr>
        <w:t>), así como fondos multilaterales (GCF, GEF), cooperación bilateral europea (AFD, KfW), bonos temáticos, mecanismos basados en resultados y aportaciones corporativas. Se busca el diseño de una propuesta aterrizada, detallando las condiciones y modalidades de su puesta en acción.</w:t>
      </w:r>
    </w:p>
    <w:p w14:paraId="5B430090" w14:textId="77777777" w:rsidR="00567CAF" w:rsidRPr="00F072E2" w:rsidRDefault="00567CAF" w:rsidP="00F072E2">
      <w:pPr>
        <w:spacing w:after="80"/>
        <w:jc w:val="both"/>
        <w:rPr>
          <w:rFonts w:asciiTheme="minorHAnsi" w:hAnsiTheme="minorHAnsi" w:cstheme="minorHAnsi"/>
          <w:sz w:val="22"/>
          <w:szCs w:val="22"/>
        </w:rPr>
      </w:pPr>
    </w:p>
    <w:p w14:paraId="34798934"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3. DESCRIPCIÓN DE LA ACCIÓN</w:t>
      </w:r>
    </w:p>
    <w:p w14:paraId="35915127" w14:textId="77777777" w:rsidR="00567CAF" w:rsidRPr="00F072E2" w:rsidRDefault="00D86CA1" w:rsidP="00F072E2">
      <w:pPr>
        <w:pStyle w:val="Ttulo2"/>
        <w:jc w:val="both"/>
        <w:rPr>
          <w:rFonts w:cstheme="minorHAnsi"/>
          <w:sz w:val="22"/>
          <w:szCs w:val="22"/>
        </w:rPr>
      </w:pPr>
      <w:r w:rsidRPr="00F072E2">
        <w:rPr>
          <w:rFonts w:cstheme="minorHAnsi"/>
          <w:sz w:val="22"/>
          <w:szCs w:val="22"/>
        </w:rPr>
        <w:t>3.1 El PSA de Costa Rica y su transición hacia el PSA 2.0</w:t>
      </w:r>
    </w:p>
    <w:p w14:paraId="22E32707"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El Fondo Nacional de Financiamiento Forestal (FONAFIFO), creado por la Ley Forestal </w:t>
      </w:r>
      <w:proofErr w:type="spellStart"/>
      <w:r w:rsidRPr="00F072E2">
        <w:rPr>
          <w:rFonts w:asciiTheme="minorHAnsi" w:hAnsiTheme="minorHAnsi" w:cstheme="minorHAnsi"/>
          <w:sz w:val="22"/>
          <w:szCs w:val="22"/>
        </w:rPr>
        <w:t>N°</w:t>
      </w:r>
      <w:proofErr w:type="spellEnd"/>
      <w:r w:rsidRPr="00F072E2">
        <w:rPr>
          <w:rFonts w:asciiTheme="minorHAnsi" w:hAnsiTheme="minorHAnsi" w:cstheme="minorHAnsi"/>
          <w:sz w:val="22"/>
          <w:szCs w:val="22"/>
        </w:rPr>
        <w:t xml:space="preserve"> 7575, administra e implementa el Programa de Pago por Servicios Ambientales (PSA). El PSA costarricense fue el primer programa nacional a gran escala que tradujo el concepto de servicios ecosistémicos en pagos directos y condicionados a propietarios privados y comunidades. Su diseño original se financió, entre otras fuentes, con una asignación establecida por normativa del 3,5 % del impuesto único a los combustibles fósiles destinada al PSA, así como aportes de empréstitos y contratos de financiamiento con agencias como el Banco Mundial y Banco Aleman KfW, lo que permitió demostrar que la condicionalidad verificable y los acuerdos de conservación son mecanismos viables para reducir la deforestación y promover la regeneración forestal. La evidencia empírica sobre su efectividad, aunque matizada por debates sobre adicionalidad y selección geográfica, continúa siendo sólida en la literatura comparada (véase Anexo — Bibliografía de referencia).</w:t>
      </w:r>
    </w:p>
    <w:p w14:paraId="7F5CF38F" w14:textId="77777777" w:rsidR="00567CAF" w:rsidRPr="00F072E2" w:rsidRDefault="00567CAF" w:rsidP="00F072E2">
      <w:pPr>
        <w:spacing w:after="80"/>
        <w:jc w:val="both"/>
        <w:rPr>
          <w:rFonts w:asciiTheme="minorHAnsi" w:hAnsiTheme="minorHAnsi" w:cstheme="minorHAnsi"/>
          <w:sz w:val="22"/>
          <w:szCs w:val="22"/>
        </w:rPr>
      </w:pPr>
    </w:p>
    <w:p w14:paraId="2BF8A1BF"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literatura reciente de economía ecológica respalda la evolución hacia una arquitectura de tipo PSA 2.0. Este rediseño se fundamenta en principios de diseño institucional complejo — gobernanza policéntrica, subsidiariedad, condicionalidad adaptativa y financiamiento por capas (</w:t>
      </w:r>
      <w:proofErr w:type="spellStart"/>
      <w:r w:rsidRPr="00F072E2">
        <w:rPr>
          <w:rFonts w:asciiTheme="minorHAnsi" w:hAnsiTheme="minorHAnsi" w:cstheme="minorHAnsi"/>
          <w:i/>
          <w:sz w:val="22"/>
          <w:szCs w:val="22"/>
        </w:rPr>
        <w:t>layering</w:t>
      </w:r>
      <w:proofErr w:type="spellEnd"/>
      <w:r w:rsidRPr="00F072E2">
        <w:rPr>
          <w:rFonts w:asciiTheme="minorHAnsi" w:hAnsiTheme="minorHAnsi" w:cstheme="minorHAnsi"/>
          <w:sz w:val="22"/>
          <w:szCs w:val="22"/>
        </w:rPr>
        <w:t>) — y propone ampliar el alcance más allá de los bosques hacia el capital natural terrestre, marino y costero. Propone igualmente la creación de un vehículo de tipo Natural Capital Trust o Natural Capital Bank que integre múltiples fuentes y modalidades, y la adopción de un Índice de Priorización de Capital Natural (NCPI) para la asignación espacialmente eficiente de las inversiones, superando la asignación histórica por demanda espontánea.</w:t>
      </w:r>
    </w:p>
    <w:p w14:paraId="7C61EC55" w14:textId="77777777" w:rsidR="00567CAF" w:rsidRPr="00F072E2" w:rsidRDefault="00567CAF" w:rsidP="00F072E2">
      <w:pPr>
        <w:spacing w:after="80"/>
        <w:jc w:val="both"/>
        <w:rPr>
          <w:rFonts w:asciiTheme="minorHAnsi" w:hAnsiTheme="minorHAnsi" w:cstheme="minorHAnsi"/>
          <w:sz w:val="22"/>
          <w:szCs w:val="22"/>
        </w:rPr>
      </w:pPr>
    </w:p>
    <w:p w14:paraId="53B471D0" w14:textId="159D7E74"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Desde la perspectiva de la demanda internacional, los análisis de cartera de fondos multilaterales indican que los esquemas PSA son elegibles para financiamiento multilateral, con mayor concentración en servicios hídricos y de carbono. Los servicios de biodiversidad requieren estrategias de </w:t>
      </w:r>
      <w:proofErr w:type="spellStart"/>
      <w:r w:rsidRPr="00F072E2">
        <w:rPr>
          <w:rFonts w:asciiTheme="minorHAnsi" w:hAnsiTheme="minorHAnsi" w:cstheme="minorHAnsi"/>
          <w:i/>
          <w:sz w:val="22"/>
          <w:szCs w:val="22"/>
        </w:rPr>
        <w:t>bundling</w:t>
      </w:r>
      <w:proofErr w:type="spellEnd"/>
      <w:r w:rsidRPr="00F072E2">
        <w:rPr>
          <w:rFonts w:asciiTheme="minorHAnsi" w:hAnsiTheme="minorHAnsi" w:cstheme="minorHAnsi"/>
          <w:sz w:val="22"/>
          <w:szCs w:val="22"/>
        </w:rPr>
        <w:t xml:space="preserve"> y </w:t>
      </w:r>
      <w:proofErr w:type="spellStart"/>
      <w:r w:rsidRPr="00F072E2">
        <w:rPr>
          <w:rFonts w:asciiTheme="minorHAnsi" w:hAnsiTheme="minorHAnsi" w:cstheme="minorHAnsi"/>
          <w:i/>
          <w:sz w:val="22"/>
          <w:szCs w:val="22"/>
        </w:rPr>
        <w:t>stacking</w:t>
      </w:r>
      <w:proofErr w:type="spellEnd"/>
      <w:r w:rsidRPr="00F072E2">
        <w:rPr>
          <w:rFonts w:asciiTheme="minorHAnsi" w:hAnsiTheme="minorHAnsi" w:cstheme="minorHAnsi"/>
          <w:sz w:val="22"/>
          <w:szCs w:val="22"/>
        </w:rPr>
        <w:t xml:space="preserve"> (agrupamiento y apilamiento) con servicios de mayor liquidez para atraer financiadores institucionales. Esta realidad impone una estructuración técnica cuidadosa con la definición de su operatividad del caso de inversión para cada instrumento financiero propuesto.</w:t>
      </w:r>
    </w:p>
    <w:p w14:paraId="4C7F18FF" w14:textId="77777777" w:rsidR="00567CAF" w:rsidRPr="00F072E2" w:rsidRDefault="00567CAF" w:rsidP="00F072E2">
      <w:pPr>
        <w:spacing w:after="80"/>
        <w:jc w:val="both"/>
        <w:rPr>
          <w:rFonts w:asciiTheme="minorHAnsi" w:hAnsiTheme="minorHAnsi" w:cstheme="minorHAnsi"/>
          <w:sz w:val="22"/>
          <w:szCs w:val="22"/>
        </w:rPr>
      </w:pPr>
    </w:p>
    <w:p w14:paraId="42EEBFB6"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lastRenderedPageBreak/>
        <w:t>La arquitectura de intervención de la presente consultoría se estructura en tres componentes complementarios y secuenciados:</w:t>
      </w:r>
    </w:p>
    <w:p w14:paraId="5C3D711F" w14:textId="77777777" w:rsidR="00567CAF" w:rsidRPr="00F072E2" w:rsidRDefault="00567CAF" w:rsidP="00F072E2">
      <w:pPr>
        <w:spacing w:after="80"/>
        <w:jc w:val="both"/>
        <w:rPr>
          <w:rFonts w:asciiTheme="minorHAnsi" w:hAnsiTheme="minorHAnsi" w:cstheme="minorHAnsi"/>
          <w:sz w:val="22"/>
          <w:szCs w:val="22"/>
        </w:rPr>
      </w:pPr>
    </w:p>
    <w:p w14:paraId="3C29A175" w14:textId="50E305F0"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Componente 1: Diagnóstico y mapeo de oportunidades de financiamiento</w:t>
      </w:r>
      <w:r w:rsidRPr="00F072E2">
        <w:rPr>
          <w:rFonts w:asciiTheme="minorHAnsi" w:hAnsiTheme="minorHAnsi" w:cstheme="minorHAnsi"/>
          <w:lang w:val="es-CO"/>
        </w:rPr>
        <w:t xml:space="preserve"> — levantamiento del panorama actual, mapeo exhaustivo de fondos climáticos con énfasis en instrumentos del Global Gateway EU, análisis de brechas, factibilidad real, condiciones habilitantes, gobernanza, modalidades de implementación y priorización vía matriz multicriterio, que incluya tipos de financiamiento y administración de los recursos que solicitan los fondos climáticos.</w:t>
      </w:r>
    </w:p>
    <w:p w14:paraId="2423CE43" w14:textId="748A21BC"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Componente 2: Diseño de productos financieros y estrategia de movilización</w:t>
      </w:r>
      <w:r w:rsidRPr="00F072E2">
        <w:rPr>
          <w:rFonts w:asciiTheme="minorHAnsi" w:hAnsiTheme="minorHAnsi" w:cstheme="minorHAnsi"/>
          <w:lang w:val="es-CO"/>
        </w:rPr>
        <w:t xml:space="preserve"> — estructuración de 3 productos por modalidad (PSA bosques, PSA marino-costero y PSA agropecuario), arquitectura de portafolio diversificado (aproximación de volúmenes financieros, modalidades de su puesta en operación, análisis del contexto institucional y regulatorio requerido, rutas de acceso y gobernanza.</w:t>
      </w:r>
    </w:p>
    <w:p w14:paraId="0CACA221" w14:textId="78DF347D"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Componente 3: Fortalecimiento institucional y condiciones habilitantes para la sostenibilidad autónoma de FONAFIFO</w:t>
      </w:r>
      <w:r w:rsidRPr="00F072E2">
        <w:rPr>
          <w:rFonts w:asciiTheme="minorHAnsi" w:hAnsiTheme="minorHAnsi" w:cstheme="minorHAnsi"/>
          <w:lang w:val="es-CO"/>
        </w:rPr>
        <w:t xml:space="preserve"> — condiciones de implementación de un PSA 2.0, capacidades en gestión fiduciaria, negociación con financiadores internacionales, MRV/trazabilidad, salvaguardas y marco de coordinación interinstitucional.</w:t>
      </w:r>
    </w:p>
    <w:p w14:paraId="55D491E5" w14:textId="77777777" w:rsidR="00567CAF" w:rsidRPr="00F072E2" w:rsidRDefault="00567CAF" w:rsidP="00F072E2">
      <w:pPr>
        <w:spacing w:after="80"/>
        <w:jc w:val="both"/>
        <w:rPr>
          <w:rFonts w:asciiTheme="minorHAnsi" w:hAnsiTheme="minorHAnsi" w:cstheme="minorHAnsi"/>
          <w:sz w:val="22"/>
          <w:szCs w:val="22"/>
        </w:rPr>
      </w:pPr>
    </w:p>
    <w:p w14:paraId="56EDEA16" w14:textId="77777777" w:rsidR="00567CAF" w:rsidRPr="00F072E2" w:rsidRDefault="00D86CA1" w:rsidP="00F072E2">
      <w:pPr>
        <w:pStyle w:val="Ttulo2"/>
        <w:jc w:val="both"/>
        <w:rPr>
          <w:rFonts w:cstheme="minorHAnsi"/>
          <w:sz w:val="22"/>
          <w:szCs w:val="22"/>
        </w:rPr>
      </w:pPr>
      <w:r w:rsidRPr="00F072E2">
        <w:rPr>
          <w:rFonts w:cstheme="minorHAnsi"/>
          <w:sz w:val="22"/>
          <w:szCs w:val="22"/>
        </w:rPr>
        <w:t>3.2 Enfoque metodológico</w:t>
      </w:r>
    </w:p>
    <w:p w14:paraId="003A3D6A"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propuesta técnica deberá presentar una secuencia metodológica lógica, verificable y auditable, con evidencias documentales de cada fase y con incorporación expresa de procesos de validación con las contrapartes.</w:t>
      </w:r>
    </w:p>
    <w:p w14:paraId="5552C2CE" w14:textId="77777777" w:rsidR="00567CAF" w:rsidRPr="00F072E2" w:rsidRDefault="00567CAF" w:rsidP="00F072E2">
      <w:pPr>
        <w:spacing w:after="80"/>
        <w:jc w:val="both"/>
        <w:rPr>
          <w:rFonts w:asciiTheme="minorHAnsi" w:hAnsiTheme="minorHAnsi" w:cstheme="minorHAnsi"/>
          <w:sz w:val="22"/>
          <w:szCs w:val="22"/>
        </w:rPr>
      </w:pPr>
    </w:p>
    <w:p w14:paraId="6308349F"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Diagnóstico de brechas (financieras, técnicas, institucionales, MRV y salvaguardas).</w:t>
      </w:r>
    </w:p>
    <w:p w14:paraId="4CD7B38B"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Análisis comparado de instrumentos (criterios de elegibilidad, preselección y factibilidad).</w:t>
      </w:r>
    </w:p>
    <w:p w14:paraId="0A0FB809" w14:textId="4B117295"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Diseño conceptual y técnico de instrumentos priorizados considerando todos los elementos para su activación operativa (marco institucional y normativo, revisión reglamentaria, criterios, MRV, salvaguardas, estructura financiera y riesgos, gobernanza).</w:t>
      </w:r>
    </w:p>
    <w:p w14:paraId="1813F143"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Preparación de paquetes de operacionalización/alistamiento para implementación (</w:t>
      </w:r>
      <w:proofErr w:type="spellStart"/>
      <w:r w:rsidRPr="00F072E2">
        <w:rPr>
          <w:rFonts w:asciiTheme="minorHAnsi" w:hAnsiTheme="minorHAnsi" w:cstheme="minorHAnsi"/>
          <w:lang w:val="es-CO"/>
        </w:rPr>
        <w:t>term</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sheets</w:t>
      </w:r>
      <w:proofErr w:type="spellEnd"/>
      <w:r w:rsidRPr="00F072E2">
        <w:rPr>
          <w:rFonts w:asciiTheme="minorHAnsi" w:hAnsiTheme="minorHAnsi" w:cstheme="minorHAnsi"/>
          <w:lang w:val="es-CO"/>
        </w:rPr>
        <w:t>, TdR, hojas de ruta, plantillas y requerimientos).</w:t>
      </w:r>
    </w:p>
    <w:p w14:paraId="501B4F76"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Formulación del plan de implementación y fortalecimiento de capacidades.</w:t>
      </w:r>
    </w:p>
    <w:p w14:paraId="42C43D94" w14:textId="77777777" w:rsidR="00567CAF" w:rsidRPr="00F072E2" w:rsidRDefault="00567CAF" w:rsidP="00F072E2">
      <w:pPr>
        <w:spacing w:after="80"/>
        <w:jc w:val="both"/>
        <w:rPr>
          <w:rFonts w:asciiTheme="minorHAnsi" w:hAnsiTheme="minorHAnsi" w:cstheme="minorHAnsi"/>
          <w:sz w:val="22"/>
          <w:szCs w:val="22"/>
        </w:rPr>
      </w:pPr>
    </w:p>
    <w:p w14:paraId="7D7B3D30" w14:textId="77777777" w:rsidR="00567CAF" w:rsidRPr="00F072E2" w:rsidRDefault="00D86CA1" w:rsidP="00F072E2">
      <w:pPr>
        <w:pStyle w:val="Ttulo2"/>
        <w:jc w:val="both"/>
        <w:rPr>
          <w:rFonts w:cstheme="minorHAnsi"/>
          <w:sz w:val="22"/>
          <w:szCs w:val="22"/>
        </w:rPr>
      </w:pPr>
      <w:r w:rsidRPr="00F072E2">
        <w:rPr>
          <w:rFonts w:cstheme="minorHAnsi"/>
          <w:sz w:val="22"/>
          <w:szCs w:val="22"/>
        </w:rPr>
        <w:t>3.3 Estándares técnicos y salvaguardas</w:t>
      </w:r>
    </w:p>
    <w:p w14:paraId="7BE76640" w14:textId="1493635F"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Independientemente del instrumento financiero propuesto, </w:t>
      </w:r>
      <w:r w:rsidR="006E7966" w:rsidRPr="00F072E2">
        <w:rPr>
          <w:rFonts w:asciiTheme="minorHAnsi" w:hAnsiTheme="minorHAnsi" w:cstheme="minorHAnsi"/>
          <w:sz w:val="22"/>
          <w:szCs w:val="22"/>
        </w:rPr>
        <w:t>la</w:t>
      </w:r>
      <w:r w:rsidRPr="00F072E2">
        <w:rPr>
          <w:rFonts w:asciiTheme="minorHAnsi" w:hAnsiTheme="minorHAnsi" w:cstheme="minorHAnsi"/>
          <w:sz w:val="22"/>
          <w:szCs w:val="22"/>
        </w:rPr>
        <w:t xml:space="preserve"> propuesta deberá aplicar </w:t>
      </w:r>
      <w:r w:rsidR="006E7966" w:rsidRPr="00F072E2">
        <w:rPr>
          <w:rFonts w:asciiTheme="minorHAnsi" w:hAnsiTheme="minorHAnsi" w:cstheme="minorHAnsi"/>
          <w:sz w:val="22"/>
          <w:szCs w:val="22"/>
        </w:rPr>
        <w:t>los</w:t>
      </w:r>
      <w:r w:rsidR="001240BA">
        <w:rPr>
          <w:rFonts w:asciiTheme="minorHAnsi" w:hAnsiTheme="minorHAnsi" w:cstheme="minorHAnsi"/>
          <w:sz w:val="22"/>
          <w:szCs w:val="22"/>
        </w:rPr>
        <w:t xml:space="preserve"> </w:t>
      </w:r>
      <w:r w:rsidRPr="00F072E2">
        <w:rPr>
          <w:rFonts w:asciiTheme="minorHAnsi" w:hAnsiTheme="minorHAnsi" w:cstheme="minorHAnsi"/>
          <w:sz w:val="22"/>
          <w:szCs w:val="22"/>
        </w:rPr>
        <w:t>criterios de calidad: integridad ambiental, MRV y trazabilidad presupuestaria, salvaguardas sociales y ambientales (ESG), gestión de riesgos, mecanismos de información y quejas y compatibilidad con auditoría, incluyendo separación de fuentes cuando exista cofinanciamiento. Todos estos elementos deberán ser orientados a la preparación del carácter operativo de los mecanismos propuestos.</w:t>
      </w:r>
    </w:p>
    <w:p w14:paraId="774AA35A" w14:textId="77777777" w:rsidR="00567CAF" w:rsidRPr="00F072E2" w:rsidRDefault="00567CAF" w:rsidP="00F072E2">
      <w:pPr>
        <w:spacing w:after="80"/>
        <w:jc w:val="both"/>
        <w:rPr>
          <w:rFonts w:asciiTheme="minorHAnsi" w:hAnsiTheme="minorHAnsi" w:cstheme="minorHAnsi"/>
          <w:sz w:val="22"/>
          <w:szCs w:val="22"/>
        </w:rPr>
      </w:pPr>
    </w:p>
    <w:p w14:paraId="0569A883"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a) Finanzas sostenibles, elegibilidad y </w:t>
      </w:r>
      <w:proofErr w:type="spellStart"/>
      <w:r w:rsidRPr="00F072E2">
        <w:rPr>
          <w:rFonts w:asciiTheme="minorHAnsi" w:hAnsiTheme="minorHAnsi" w:cstheme="minorHAnsi"/>
          <w:b/>
          <w:i/>
          <w:sz w:val="22"/>
          <w:szCs w:val="22"/>
        </w:rPr>
        <w:t>blended</w:t>
      </w:r>
      <w:proofErr w:type="spellEnd"/>
      <w:r w:rsidRPr="00F072E2">
        <w:rPr>
          <w:rFonts w:asciiTheme="minorHAnsi" w:hAnsiTheme="minorHAnsi" w:cstheme="minorHAnsi"/>
          <w:b/>
          <w:i/>
          <w:sz w:val="22"/>
          <w:szCs w:val="22"/>
        </w:rPr>
        <w:t xml:space="preserve"> </w:t>
      </w:r>
      <w:proofErr w:type="spellStart"/>
      <w:r w:rsidRPr="00F072E2">
        <w:rPr>
          <w:rFonts w:asciiTheme="minorHAnsi" w:hAnsiTheme="minorHAnsi" w:cstheme="minorHAnsi"/>
          <w:b/>
          <w:i/>
          <w:sz w:val="22"/>
          <w:szCs w:val="22"/>
        </w:rPr>
        <w:t>finance</w:t>
      </w:r>
      <w:proofErr w:type="spellEnd"/>
      <w:r w:rsidRPr="00F072E2">
        <w:rPr>
          <w:rFonts w:asciiTheme="minorHAnsi" w:hAnsiTheme="minorHAnsi" w:cstheme="minorHAnsi"/>
          <w:b/>
          <w:bCs/>
          <w:sz w:val="22"/>
          <w:szCs w:val="22"/>
        </w:rPr>
        <w:t xml:space="preserve"> (finanzas mezcladas)</w:t>
      </w:r>
    </w:p>
    <w:p w14:paraId="417263F6"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El diseño de instrumentos financieros deberá inscribirse en el marco del financiamiento climático internacional y de las finanzas sostenibles, incluyendo principios de movilización de capital privado </w:t>
      </w:r>
      <w:r w:rsidRPr="00F072E2">
        <w:rPr>
          <w:rFonts w:asciiTheme="minorHAnsi" w:hAnsiTheme="minorHAnsi" w:cstheme="minorHAnsi"/>
          <w:sz w:val="22"/>
          <w:szCs w:val="22"/>
        </w:rPr>
        <w:lastRenderedPageBreak/>
        <w:t xml:space="preserve">mediante </w:t>
      </w:r>
      <w:proofErr w:type="spellStart"/>
      <w:r w:rsidRPr="00F072E2">
        <w:rPr>
          <w:rFonts w:asciiTheme="minorHAnsi" w:hAnsiTheme="minorHAnsi" w:cstheme="minorHAnsi"/>
          <w:i/>
          <w:sz w:val="22"/>
          <w:szCs w:val="22"/>
        </w:rPr>
        <w:t>blended</w:t>
      </w:r>
      <w:proofErr w:type="spellEnd"/>
      <w:r w:rsidRPr="00F072E2">
        <w:rPr>
          <w:rFonts w:asciiTheme="minorHAnsi" w:hAnsiTheme="minorHAnsi" w:cstheme="minorHAnsi"/>
          <w:i/>
          <w:sz w:val="22"/>
          <w:szCs w:val="22"/>
        </w:rPr>
        <w:t xml:space="preserve"> </w:t>
      </w:r>
      <w:proofErr w:type="spellStart"/>
      <w:r w:rsidRPr="00F072E2">
        <w:rPr>
          <w:rFonts w:asciiTheme="minorHAnsi" w:hAnsiTheme="minorHAnsi" w:cstheme="minorHAnsi"/>
          <w:i/>
          <w:sz w:val="22"/>
          <w:szCs w:val="22"/>
        </w:rPr>
        <w:t>finance</w:t>
      </w:r>
      <w:proofErr w:type="spellEnd"/>
      <w:r w:rsidRPr="00F072E2">
        <w:rPr>
          <w:rFonts w:asciiTheme="minorHAnsi" w:hAnsiTheme="minorHAnsi" w:cstheme="minorHAnsi"/>
          <w:sz w:val="22"/>
          <w:szCs w:val="22"/>
        </w:rPr>
        <w:t>, criterios de elegibilidad y compatibilidad con la normativa nacional y con los requerimientos fiduciarios de los fondos priorizados.</w:t>
      </w:r>
    </w:p>
    <w:p w14:paraId="5C719AF3" w14:textId="77777777" w:rsidR="00567CAF" w:rsidRPr="00F072E2" w:rsidRDefault="00567CAF" w:rsidP="00F072E2">
      <w:pPr>
        <w:spacing w:after="80"/>
        <w:jc w:val="both"/>
        <w:rPr>
          <w:rFonts w:asciiTheme="minorHAnsi" w:hAnsiTheme="minorHAnsi" w:cstheme="minorHAnsi"/>
          <w:sz w:val="22"/>
          <w:szCs w:val="22"/>
        </w:rPr>
      </w:pPr>
    </w:p>
    <w:p w14:paraId="0D523A2A"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b) Condicionalidad verificable, integridad ambiental y acuerdos de conservación</w:t>
      </w:r>
    </w:p>
    <w:p w14:paraId="268E2797"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metodología deberá fundamentar el diseño de los contratos PSA en principios de condicionalidad rigurosa y monitoreo de desempeño. El marco de referencia deberá privilegiar criterios de integridad ambiental, adicionalidad, permanencia, mecanismos de quejas y riesgo de fuga cuando aplique, así como esquemas de acuerdos de conservación y de distribución de beneficios compatibles con el mandato del PSA.</w:t>
      </w:r>
    </w:p>
    <w:p w14:paraId="36918686" w14:textId="77777777" w:rsidR="00567CAF" w:rsidRPr="00F072E2" w:rsidRDefault="00567CAF" w:rsidP="00F072E2">
      <w:pPr>
        <w:spacing w:after="80"/>
        <w:jc w:val="both"/>
        <w:rPr>
          <w:rFonts w:asciiTheme="minorHAnsi" w:hAnsiTheme="minorHAnsi" w:cstheme="minorHAnsi"/>
          <w:sz w:val="22"/>
          <w:szCs w:val="22"/>
        </w:rPr>
      </w:pPr>
    </w:p>
    <w:p w14:paraId="07E2A524"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c) Sistemas MRV, trazabilidad y auditabilidad</w:t>
      </w:r>
    </w:p>
    <w:p w14:paraId="1CE5FD1E" w14:textId="479031BB"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bibliografía internacional converge en señalar que la calidad del sistema MRV es un determinante crítico para documentar los esfuerzos realizados a nivel del país en relación a la NDC y para la elegibilidad para financiamiento climático internacional. El oferente deberá incorporar en su diseño un análisis realista de costos de monitoreo y una arquitectura de datos que aproveche tecnologías de teledetección de bajo costo, asegurando al mismo tiempo trazabilidad de la ejecución presupuestaria, separación de fuentes cuando exista cofinanciamiento y compatibilidad con auditoría.</w:t>
      </w:r>
    </w:p>
    <w:p w14:paraId="3E2C33BA" w14:textId="77777777" w:rsidR="00567CAF" w:rsidRPr="00F072E2" w:rsidRDefault="00567CAF" w:rsidP="00F072E2">
      <w:pPr>
        <w:spacing w:after="80"/>
        <w:jc w:val="both"/>
        <w:rPr>
          <w:rFonts w:asciiTheme="minorHAnsi" w:hAnsiTheme="minorHAnsi" w:cstheme="minorHAnsi"/>
          <w:sz w:val="22"/>
          <w:szCs w:val="22"/>
        </w:rPr>
      </w:pPr>
    </w:p>
    <w:p w14:paraId="40C93984"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d) Gobernanza institucional y marcos de coordinación</w:t>
      </w:r>
    </w:p>
    <w:p w14:paraId="02B059B8" w14:textId="0105C1A3"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experiencia internacional en esquemas PSA de segunda generación demuestra que las fallas de gobernanza — en particular la fragmentación institucional, el marco normativo y la ausencia de mecanismos de coordinación entre actores — son las principales causas de subejecución en proyectos de financiamiento climático. La propuesta metodológica deberá incluir un análisis de economía política del ecosistema institucional costarricense (FONAFIFO, MINAE, Ministerio de Hacienda) y una propuesta de arquitectura de coordinación con roles, responsabilidad, incentivos y mecanismos de resolución de conflictos claramente definidos.</w:t>
      </w:r>
    </w:p>
    <w:p w14:paraId="426E9660" w14:textId="77777777" w:rsidR="00567CAF" w:rsidRPr="00F072E2" w:rsidRDefault="00567CAF" w:rsidP="00F072E2">
      <w:pPr>
        <w:spacing w:after="80"/>
        <w:jc w:val="both"/>
        <w:rPr>
          <w:rFonts w:asciiTheme="minorHAnsi" w:hAnsiTheme="minorHAnsi" w:cstheme="minorHAnsi"/>
          <w:sz w:val="22"/>
          <w:szCs w:val="22"/>
        </w:rPr>
      </w:pPr>
    </w:p>
    <w:p w14:paraId="278BB300"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sz w:val="22"/>
          <w:szCs w:val="22"/>
        </w:rPr>
        <w:t>e) Enfoque de género e inclusión</w:t>
      </w:r>
    </w:p>
    <w:p w14:paraId="355ED47A" w14:textId="3A4663AD"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 oferente deberá aplicar como mínimo el principio de no hacer daño (</w:t>
      </w:r>
      <w:r w:rsidRPr="00F072E2">
        <w:rPr>
          <w:rFonts w:asciiTheme="minorHAnsi" w:hAnsiTheme="minorHAnsi" w:cstheme="minorHAnsi"/>
          <w:i/>
          <w:sz w:val="22"/>
          <w:szCs w:val="22"/>
        </w:rPr>
        <w:t xml:space="preserve">do no </w:t>
      </w:r>
      <w:proofErr w:type="spellStart"/>
      <w:r w:rsidRPr="00F072E2">
        <w:rPr>
          <w:rFonts w:asciiTheme="minorHAnsi" w:hAnsiTheme="minorHAnsi" w:cstheme="minorHAnsi"/>
          <w:i/>
          <w:sz w:val="22"/>
          <w:szCs w:val="22"/>
        </w:rPr>
        <w:t>harm</w:t>
      </w:r>
      <w:proofErr w:type="spellEnd"/>
      <w:r w:rsidRPr="00F072E2">
        <w:rPr>
          <w:rFonts w:asciiTheme="minorHAnsi" w:hAnsiTheme="minorHAnsi" w:cstheme="minorHAnsi"/>
          <w:sz w:val="22"/>
          <w:szCs w:val="22"/>
        </w:rPr>
        <w:t>), evitando la exclusión de mujeres, jóvenes y pueblos indígenas. El plan de monitoreo deberá incluir indicadores desagregados por sexo y edad y categorías sociales, y los reportes de progreso y finales deberán incorporar análisis de distribución de beneficios según grupos socioculturales y barreras de acceso diferenciadas por género, adoptando el marco analítico de género del CGIAR adaptado al contexto de pagos por servicios ecosistémicos en América Latina.</w:t>
      </w:r>
    </w:p>
    <w:p w14:paraId="120A1F1F" w14:textId="77777777" w:rsidR="00567CAF" w:rsidRPr="00F072E2" w:rsidRDefault="00567CAF" w:rsidP="00F072E2">
      <w:pPr>
        <w:spacing w:after="80"/>
        <w:jc w:val="both"/>
        <w:rPr>
          <w:rFonts w:asciiTheme="minorHAnsi" w:hAnsiTheme="minorHAnsi" w:cstheme="minorHAnsi"/>
          <w:sz w:val="22"/>
          <w:szCs w:val="22"/>
        </w:rPr>
      </w:pPr>
    </w:p>
    <w:p w14:paraId="295890BA"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4. OBJETIVOS</w:t>
      </w:r>
    </w:p>
    <w:p w14:paraId="45B4E658" w14:textId="77777777" w:rsidR="00567CAF" w:rsidRPr="00F072E2" w:rsidRDefault="00D86CA1" w:rsidP="00F072E2">
      <w:pPr>
        <w:pStyle w:val="Ttulo2"/>
        <w:jc w:val="both"/>
        <w:rPr>
          <w:rFonts w:cstheme="minorHAnsi"/>
          <w:sz w:val="22"/>
          <w:szCs w:val="22"/>
        </w:rPr>
      </w:pPr>
      <w:r w:rsidRPr="00F072E2">
        <w:rPr>
          <w:rFonts w:cstheme="minorHAnsi"/>
          <w:sz w:val="22"/>
          <w:szCs w:val="22"/>
        </w:rPr>
        <w:t>4.1 Objetivo general</w:t>
      </w:r>
    </w:p>
    <w:p w14:paraId="47F58F57" w14:textId="011DE4F2"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Apoyar a FONAFIFO en la </w:t>
      </w:r>
      <w:r w:rsidRPr="00F072E2">
        <w:rPr>
          <w:rFonts w:asciiTheme="minorHAnsi" w:hAnsiTheme="minorHAnsi" w:cstheme="minorHAnsi"/>
          <w:b/>
          <w:bCs/>
          <w:sz w:val="22"/>
          <w:szCs w:val="22"/>
        </w:rPr>
        <w:t>diversificación estratégica y sostenible del financiamiento</w:t>
      </w:r>
      <w:r w:rsidRPr="00F072E2">
        <w:rPr>
          <w:rFonts w:asciiTheme="minorHAnsi" w:hAnsiTheme="minorHAnsi" w:cstheme="minorHAnsi"/>
          <w:sz w:val="22"/>
          <w:szCs w:val="22"/>
        </w:rPr>
        <w:t xml:space="preserve"> para el Programa de Pago por Servicios Ambientales (PSA 2.0</w:t>
      </w:r>
      <w:r w:rsidR="006E7966" w:rsidRPr="00F072E2">
        <w:rPr>
          <w:rFonts w:asciiTheme="minorHAnsi" w:hAnsiTheme="minorHAnsi" w:cstheme="minorHAnsi"/>
          <w:sz w:val="22"/>
          <w:szCs w:val="22"/>
        </w:rPr>
        <w:t>),</w:t>
      </w:r>
      <w:r w:rsidRPr="00F072E2">
        <w:rPr>
          <w:rFonts w:asciiTheme="minorHAnsi" w:hAnsiTheme="minorHAnsi" w:cstheme="minorHAnsi"/>
          <w:sz w:val="22"/>
          <w:szCs w:val="22"/>
        </w:rPr>
        <w:t xml:space="preserve"> fortaleciendo su capacidad institucional para movilizar recursos de manera autónoma y pragmática, mediante:</w:t>
      </w:r>
    </w:p>
    <w:p w14:paraId="315CB926" w14:textId="77777777" w:rsidR="006E7966" w:rsidRPr="00F072E2" w:rsidRDefault="006E7966" w:rsidP="009B207D">
      <w:pPr>
        <w:spacing w:after="80"/>
        <w:jc w:val="both"/>
        <w:rPr>
          <w:rFonts w:asciiTheme="minorHAnsi" w:hAnsiTheme="minorHAnsi" w:cstheme="minorHAnsi"/>
          <w:sz w:val="22"/>
          <w:szCs w:val="22"/>
        </w:rPr>
      </w:pPr>
    </w:p>
    <w:p w14:paraId="7B8083BA"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lastRenderedPageBreak/>
        <w:t xml:space="preserve">el mapeo, análisis y priorización de instrumentos de financiamiento disponibles en el ecosistema multilateral, bilateral y privado internacionales, </w:t>
      </w:r>
      <w:r w:rsidRPr="00F072E2">
        <w:rPr>
          <w:rFonts w:asciiTheme="minorHAnsi" w:hAnsiTheme="minorHAnsi" w:cstheme="minorHAnsi"/>
          <w:b/>
          <w:lang w:val="es-CO"/>
        </w:rPr>
        <w:t xml:space="preserve">priorizando los instrumentos europeos del Global Gateway (EFSD+, NDICI-Global Europe, Team Europe </w:t>
      </w:r>
      <w:proofErr w:type="spellStart"/>
      <w:r w:rsidRPr="00F072E2">
        <w:rPr>
          <w:rFonts w:asciiTheme="minorHAnsi" w:hAnsiTheme="minorHAnsi" w:cstheme="minorHAnsi"/>
          <w:b/>
          <w:lang w:val="es-CO"/>
        </w:rPr>
        <w:t>Initiatives</w:t>
      </w:r>
      <w:proofErr w:type="spellEnd"/>
      <w:r w:rsidRPr="00F072E2">
        <w:rPr>
          <w:rFonts w:asciiTheme="minorHAnsi" w:hAnsiTheme="minorHAnsi" w:cstheme="minorHAnsi"/>
          <w:b/>
          <w:lang w:val="es-CO"/>
        </w:rPr>
        <w:t>)</w:t>
      </w:r>
      <w:r w:rsidRPr="00F072E2">
        <w:rPr>
          <w:rFonts w:asciiTheme="minorHAnsi" w:hAnsiTheme="minorHAnsi" w:cstheme="minorHAnsi"/>
          <w:lang w:val="es-CO"/>
        </w:rPr>
        <w:t>; y</w:t>
      </w:r>
    </w:p>
    <w:p w14:paraId="2DE38CC3" w14:textId="77777777" w:rsidR="00BE788F" w:rsidRPr="00F072E2" w:rsidRDefault="00BE788F"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la estructuración operativa de productos financieros específicos por modalidad, alineados con los estándares internacionales del financiamiento climático, </w:t>
      </w:r>
      <w:r w:rsidRPr="00F072E2">
        <w:rPr>
          <w:rFonts w:asciiTheme="minorHAnsi" w:hAnsiTheme="minorHAnsi" w:cstheme="minorHAnsi"/>
          <w:b/>
          <w:lang w:val="es-CO"/>
        </w:rPr>
        <w:t>con énfasis prioritario en los criterios de elegibilidad de la estrategia Global Gateway de la Unión Europea</w:t>
      </w:r>
      <w:r w:rsidRPr="00F072E2">
        <w:rPr>
          <w:rFonts w:asciiTheme="minorHAnsi" w:hAnsiTheme="minorHAnsi" w:cstheme="minorHAnsi"/>
          <w:lang w:val="es-CO"/>
        </w:rPr>
        <w:t xml:space="preserve"> y otros mecanismos multilaterales y bilaterales;</w:t>
      </w:r>
    </w:p>
    <w:p w14:paraId="0C4A7700"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el fortalecimiento de capacidades institucionales en sistemas MRV, trazabilidad, gestión fiduciaria y salvaguardas, </w:t>
      </w:r>
      <w:r w:rsidRPr="00F072E2">
        <w:rPr>
          <w:rFonts w:asciiTheme="minorHAnsi" w:hAnsiTheme="minorHAnsi" w:cstheme="minorHAnsi"/>
          <w:b/>
          <w:lang w:val="es-CO"/>
        </w:rPr>
        <w:t>para que FONAFIFO quede posicionado para movilizar financiamiento de manera autónoma y sostenida</w:t>
      </w:r>
      <w:r w:rsidRPr="00F072E2">
        <w:rPr>
          <w:rFonts w:asciiTheme="minorHAnsi" w:hAnsiTheme="minorHAnsi" w:cstheme="minorHAnsi"/>
          <w:lang w:val="es-CO"/>
        </w:rPr>
        <w:t>, reduciendo la dependencia de asistencia técnica externa continua.</w:t>
      </w:r>
    </w:p>
    <w:p w14:paraId="1FC3FB5E" w14:textId="77777777" w:rsidR="00567CAF" w:rsidRPr="00F072E2" w:rsidRDefault="00567CAF" w:rsidP="00F072E2">
      <w:pPr>
        <w:spacing w:after="80"/>
        <w:jc w:val="both"/>
        <w:rPr>
          <w:rFonts w:asciiTheme="minorHAnsi" w:hAnsiTheme="minorHAnsi" w:cstheme="minorHAnsi"/>
          <w:sz w:val="22"/>
          <w:szCs w:val="22"/>
        </w:rPr>
      </w:pPr>
    </w:p>
    <w:p w14:paraId="3C8EF9C0" w14:textId="77777777" w:rsidR="00567CAF" w:rsidRPr="00F072E2" w:rsidRDefault="00D86CA1" w:rsidP="00F072E2">
      <w:pPr>
        <w:pStyle w:val="Ttulo2"/>
        <w:jc w:val="both"/>
        <w:rPr>
          <w:rFonts w:cstheme="minorHAnsi"/>
          <w:sz w:val="22"/>
          <w:szCs w:val="22"/>
        </w:rPr>
      </w:pPr>
      <w:r w:rsidRPr="00F072E2">
        <w:rPr>
          <w:rFonts w:cstheme="minorHAnsi"/>
          <w:sz w:val="22"/>
          <w:szCs w:val="22"/>
        </w:rPr>
        <w:t>4.2 Objetivos específicos</w:t>
      </w:r>
    </w:p>
    <w:p w14:paraId="541001DB" w14:textId="47EA2F9A"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OE1. Diagnóstico y mapeo de oportunidades de financiamiento. </w:t>
      </w:r>
      <w:r w:rsidRPr="00F072E2">
        <w:rPr>
          <w:rFonts w:asciiTheme="minorHAnsi" w:hAnsiTheme="minorHAnsi" w:cstheme="minorHAnsi"/>
          <w:sz w:val="22"/>
          <w:szCs w:val="22"/>
        </w:rPr>
        <w:t xml:space="preserve">Producir y analizar un mapeo exhaustivo de fuentes de financiamiento internacional — </w:t>
      </w:r>
      <w:r w:rsidRPr="00F072E2">
        <w:rPr>
          <w:rFonts w:asciiTheme="minorHAnsi" w:hAnsiTheme="minorHAnsi" w:cstheme="minorHAnsi"/>
          <w:b/>
          <w:bCs/>
          <w:sz w:val="22"/>
          <w:szCs w:val="22"/>
        </w:rPr>
        <w:t xml:space="preserve">con prioridad en </w:t>
      </w:r>
      <w:r w:rsidR="006E7966" w:rsidRPr="00F072E2">
        <w:rPr>
          <w:rFonts w:asciiTheme="minorHAnsi" w:hAnsiTheme="minorHAnsi" w:cstheme="minorHAnsi"/>
          <w:b/>
          <w:bCs/>
          <w:sz w:val="22"/>
          <w:szCs w:val="22"/>
        </w:rPr>
        <w:t>las</w:t>
      </w:r>
      <w:r w:rsidR="00D75641">
        <w:rPr>
          <w:rFonts w:asciiTheme="minorHAnsi" w:hAnsiTheme="minorHAnsi" w:cstheme="minorHAnsi"/>
          <w:b/>
          <w:bCs/>
          <w:sz w:val="22"/>
          <w:szCs w:val="22"/>
        </w:rPr>
        <w:t xml:space="preserve"> </w:t>
      </w:r>
      <w:r w:rsidRPr="00F072E2">
        <w:rPr>
          <w:rFonts w:asciiTheme="minorHAnsi" w:hAnsiTheme="minorHAnsi" w:cstheme="minorHAnsi"/>
          <w:b/>
          <w:bCs/>
          <w:sz w:val="22"/>
          <w:szCs w:val="22"/>
        </w:rPr>
        <w:t>iniciativas del Global Gateway de la Unión Europea</w:t>
      </w:r>
      <w:r w:rsidRPr="00F072E2">
        <w:rPr>
          <w:rFonts w:asciiTheme="minorHAnsi" w:hAnsiTheme="minorHAnsi" w:cstheme="minorHAnsi"/>
          <w:sz w:val="22"/>
          <w:szCs w:val="22"/>
        </w:rPr>
        <w:t xml:space="preserve"> (EFSD+, NDICI-Global Europe, Team Europe </w:t>
      </w:r>
      <w:proofErr w:type="spellStart"/>
      <w:r w:rsidRPr="00F072E2">
        <w:rPr>
          <w:rFonts w:asciiTheme="minorHAnsi" w:hAnsiTheme="minorHAnsi" w:cstheme="minorHAnsi"/>
          <w:sz w:val="22"/>
          <w:szCs w:val="22"/>
        </w:rPr>
        <w:t>Initiatives</w:t>
      </w:r>
      <w:proofErr w:type="spellEnd"/>
      <w:r w:rsidRPr="00F072E2">
        <w:rPr>
          <w:rFonts w:asciiTheme="minorHAnsi" w:hAnsiTheme="minorHAnsi" w:cstheme="minorHAnsi"/>
          <w:sz w:val="22"/>
          <w:szCs w:val="22"/>
        </w:rPr>
        <w:t xml:space="preserve">) — así como fondos multilaterales (GCF/GEF), cooperación bilateral (AFD/KfW), bonos temáticos verdes y azules, mecanismos de pagos por resultados, aportaciones corporativas y mecanismos híbridos. Las fuentes de financiamiento internacional </w:t>
      </w:r>
      <w:r w:rsidR="006E7966" w:rsidRPr="00F072E2">
        <w:rPr>
          <w:rFonts w:asciiTheme="minorHAnsi" w:hAnsiTheme="minorHAnsi" w:cstheme="minorHAnsi"/>
          <w:sz w:val="22"/>
          <w:szCs w:val="22"/>
        </w:rPr>
        <w:t xml:space="preserve">serán </w:t>
      </w:r>
      <w:proofErr w:type="spellStart"/>
      <w:r w:rsidR="006E7966" w:rsidRPr="00F072E2">
        <w:rPr>
          <w:rFonts w:asciiTheme="minorHAnsi" w:hAnsiTheme="minorHAnsi" w:cstheme="minorHAnsi"/>
          <w:sz w:val="22"/>
          <w:szCs w:val="22"/>
        </w:rPr>
        <w:t>priorizadas</w:t>
      </w:r>
      <w:r w:rsidRPr="00F072E2">
        <w:rPr>
          <w:rFonts w:asciiTheme="minorHAnsi" w:hAnsiTheme="minorHAnsi" w:cstheme="minorHAnsi"/>
          <w:sz w:val="22"/>
          <w:szCs w:val="22"/>
        </w:rPr>
        <w:t>a</w:t>
      </w:r>
      <w:proofErr w:type="spellEnd"/>
      <w:r w:rsidRPr="00F072E2">
        <w:rPr>
          <w:rFonts w:asciiTheme="minorHAnsi" w:hAnsiTheme="minorHAnsi" w:cstheme="minorHAnsi"/>
          <w:sz w:val="22"/>
          <w:szCs w:val="22"/>
        </w:rPr>
        <w:t xml:space="preserve"> mediante una matriz multicriterio que evalúe factibilidad legal y fiduciaria, monto potencial, costos de transacción, tiempos de acceso, riesgos, </w:t>
      </w:r>
      <w:proofErr w:type="spellStart"/>
      <w:r w:rsidRPr="00F072E2">
        <w:rPr>
          <w:rFonts w:asciiTheme="minorHAnsi" w:hAnsiTheme="minorHAnsi" w:cstheme="minorHAnsi"/>
          <w:sz w:val="22"/>
          <w:szCs w:val="22"/>
        </w:rPr>
        <w:t>co-beneficios</w:t>
      </w:r>
      <w:proofErr w:type="spellEnd"/>
      <w:r w:rsidRPr="00F072E2">
        <w:rPr>
          <w:rFonts w:asciiTheme="minorHAnsi" w:hAnsiTheme="minorHAnsi" w:cstheme="minorHAnsi"/>
          <w:sz w:val="22"/>
          <w:szCs w:val="22"/>
        </w:rPr>
        <w:t xml:space="preserve"> de biodiversidad y alineamiento con la Taxonomía Verde de la UE, el Global Gateway y el SFDR.</w:t>
      </w:r>
    </w:p>
    <w:p w14:paraId="052416DD" w14:textId="77777777" w:rsidR="00567CAF" w:rsidRPr="00F072E2" w:rsidRDefault="00567CAF" w:rsidP="00F072E2">
      <w:pPr>
        <w:spacing w:after="80"/>
        <w:jc w:val="both"/>
        <w:rPr>
          <w:rFonts w:asciiTheme="minorHAnsi" w:hAnsiTheme="minorHAnsi" w:cstheme="minorHAnsi"/>
          <w:sz w:val="22"/>
          <w:szCs w:val="22"/>
        </w:rPr>
      </w:pPr>
    </w:p>
    <w:p w14:paraId="548DC9C4" w14:textId="762151F2"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OE2. Diseño de productos financieros y estrategia de movilización e implementación (PSA 2.0). </w:t>
      </w:r>
      <w:r w:rsidRPr="00F072E2">
        <w:rPr>
          <w:rFonts w:asciiTheme="minorHAnsi" w:hAnsiTheme="minorHAnsi" w:cstheme="minorHAnsi"/>
          <w:sz w:val="22"/>
          <w:szCs w:val="22"/>
        </w:rPr>
        <w:t>Diseñar un portafolio de 3 productos financieros estructurados con sus dimensiones operativas — uno como PSA forestal 2.0 (siendo este la prioridad), un segundo PSA marino-costero (manglares, comunidades pesqueras, carbono azul) y un tercero PSA agropecuario incluyendo suelos (</w:t>
      </w:r>
      <w:proofErr w:type="spellStart"/>
      <w:r w:rsidRPr="00F072E2">
        <w:rPr>
          <w:rFonts w:asciiTheme="minorHAnsi" w:hAnsiTheme="minorHAnsi" w:cstheme="minorHAnsi"/>
          <w:sz w:val="22"/>
          <w:szCs w:val="22"/>
        </w:rPr>
        <w:t>silvopastoreo</w:t>
      </w:r>
      <w:proofErr w:type="spellEnd"/>
      <w:r w:rsidRPr="00F072E2">
        <w:rPr>
          <w:rFonts w:asciiTheme="minorHAnsi" w:hAnsiTheme="minorHAnsi" w:cstheme="minorHAnsi"/>
          <w:sz w:val="22"/>
          <w:szCs w:val="22"/>
        </w:rPr>
        <w:t xml:space="preserve">, agroforestería, captura de carbono en suelos). A estos tres productos se debe incluir la arquitectura financiera completa con el mecanismo de </w:t>
      </w:r>
      <w:proofErr w:type="spellStart"/>
      <w:r w:rsidRPr="00F072E2">
        <w:rPr>
          <w:rFonts w:asciiTheme="minorHAnsi" w:hAnsiTheme="minorHAnsi" w:cstheme="minorHAnsi"/>
          <w:i/>
          <w:sz w:val="22"/>
          <w:szCs w:val="22"/>
        </w:rPr>
        <w:t>layering</w:t>
      </w:r>
      <w:proofErr w:type="spellEnd"/>
      <w:r w:rsidRPr="00F072E2">
        <w:rPr>
          <w:rFonts w:asciiTheme="minorHAnsi" w:hAnsiTheme="minorHAnsi" w:cstheme="minorHAnsi"/>
          <w:sz w:val="22"/>
          <w:szCs w:val="22"/>
        </w:rPr>
        <w:t xml:space="preserve"> (capas) de fuentes y gobernanza; rutas de acceso detalladas por instrumento priorizado con pasos, roles, requisitos fiduciarios, cronograma, hitos críticos y gestión de riesgos, modalidades de implementación; narrativas de inversión documentadas con estimaciones de volúmenes financieros susceptibles de ser atraídos y las variables tales como retorno social, </w:t>
      </w:r>
      <w:proofErr w:type="spellStart"/>
      <w:r w:rsidRPr="00F072E2">
        <w:rPr>
          <w:rFonts w:asciiTheme="minorHAnsi" w:hAnsiTheme="minorHAnsi" w:cstheme="minorHAnsi"/>
          <w:sz w:val="22"/>
          <w:szCs w:val="22"/>
        </w:rPr>
        <w:t>co-beneficios</w:t>
      </w:r>
      <w:proofErr w:type="spellEnd"/>
      <w:r w:rsidRPr="00F072E2">
        <w:rPr>
          <w:rFonts w:asciiTheme="minorHAnsi" w:hAnsiTheme="minorHAnsi" w:cstheme="minorHAnsi"/>
          <w:sz w:val="22"/>
          <w:szCs w:val="22"/>
        </w:rPr>
        <w:t xml:space="preserve"> cuantificados y teoría de cambio verificable; y paquetes de documentación para ser presentados a financiadores internacionales para su involucramiento. El diseño incorporará lecciones sobre arquitecturas de tipo Natural Capital Trust y los principios de </w:t>
      </w:r>
      <w:proofErr w:type="spellStart"/>
      <w:r w:rsidRPr="00F072E2">
        <w:rPr>
          <w:rFonts w:asciiTheme="minorHAnsi" w:hAnsiTheme="minorHAnsi" w:cstheme="minorHAnsi"/>
          <w:i/>
          <w:sz w:val="22"/>
          <w:szCs w:val="22"/>
        </w:rPr>
        <w:t>blended</w:t>
      </w:r>
      <w:proofErr w:type="spellEnd"/>
      <w:r w:rsidRPr="00F072E2">
        <w:rPr>
          <w:rFonts w:asciiTheme="minorHAnsi" w:hAnsiTheme="minorHAnsi" w:cstheme="minorHAnsi"/>
          <w:i/>
          <w:sz w:val="22"/>
          <w:szCs w:val="22"/>
        </w:rPr>
        <w:t xml:space="preserve"> </w:t>
      </w:r>
      <w:proofErr w:type="spellStart"/>
      <w:r w:rsidRPr="00F072E2">
        <w:rPr>
          <w:rFonts w:asciiTheme="minorHAnsi" w:hAnsiTheme="minorHAnsi" w:cstheme="minorHAnsi"/>
          <w:i/>
          <w:sz w:val="22"/>
          <w:szCs w:val="22"/>
        </w:rPr>
        <w:t>finance</w:t>
      </w:r>
      <w:proofErr w:type="spellEnd"/>
      <w:r w:rsidRPr="00F072E2">
        <w:rPr>
          <w:rFonts w:asciiTheme="minorHAnsi" w:hAnsiTheme="minorHAnsi" w:cstheme="minorHAnsi"/>
          <w:sz w:val="22"/>
          <w:szCs w:val="22"/>
        </w:rPr>
        <w:t xml:space="preserve"> para apalancar capital privado sobre bases de financiamiento público y multilateral.</w:t>
      </w:r>
    </w:p>
    <w:p w14:paraId="5E8247DB" w14:textId="77777777" w:rsidR="00567CAF" w:rsidRPr="00F072E2" w:rsidRDefault="00567CAF" w:rsidP="00F072E2">
      <w:pPr>
        <w:spacing w:after="80"/>
        <w:jc w:val="both"/>
        <w:rPr>
          <w:rFonts w:asciiTheme="minorHAnsi" w:hAnsiTheme="minorHAnsi" w:cstheme="minorHAnsi"/>
          <w:sz w:val="22"/>
          <w:szCs w:val="22"/>
        </w:rPr>
      </w:pPr>
    </w:p>
    <w:p w14:paraId="470B8CBA" w14:textId="0F414D4A"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OE3. Fortalecimiento de condiciones habilitantes y capacidades institucionales. </w:t>
      </w:r>
      <w:r w:rsidRPr="00F072E2">
        <w:rPr>
          <w:rFonts w:asciiTheme="minorHAnsi" w:hAnsiTheme="minorHAnsi" w:cstheme="minorHAnsi"/>
          <w:sz w:val="22"/>
          <w:szCs w:val="22"/>
        </w:rPr>
        <w:t xml:space="preserve">Fortalecer las capacidades de FONAFIFO y de las instituciones del ecosistema de coordinación (MINAE, Ministerio de Hacienda) en: marco institucional y normativo, sistema de gobernanza, gestión fiduciaria y cumplimiento de estándares multilaterales y europeos; negociación con financiadores internacionales, especialmente en el marco del Global Gateway; diseño y operación de sistemas MRV robustos y de bajo costo unitario aprovechando teledetección y plataformas de datos abiertas; aplicación de estándares internacionales de salvaguardas ambientales y sociales; y reporte de impacto climático y de biodiversidad según métricas aceptadas por financiadores institucionales (TCFD, TNFD, SDG </w:t>
      </w:r>
      <w:proofErr w:type="spellStart"/>
      <w:r w:rsidRPr="00F072E2">
        <w:rPr>
          <w:rFonts w:asciiTheme="minorHAnsi" w:hAnsiTheme="minorHAnsi" w:cstheme="minorHAnsi"/>
          <w:sz w:val="22"/>
          <w:szCs w:val="22"/>
        </w:rPr>
        <w:t>Impact</w:t>
      </w:r>
      <w:proofErr w:type="spellEnd"/>
      <w:r w:rsidRPr="00F072E2">
        <w:rPr>
          <w:rFonts w:asciiTheme="minorHAnsi" w:hAnsiTheme="minorHAnsi" w:cstheme="minorHAnsi"/>
          <w:sz w:val="22"/>
          <w:szCs w:val="22"/>
        </w:rPr>
        <w:t xml:space="preserve"> </w:t>
      </w:r>
      <w:proofErr w:type="spellStart"/>
      <w:r w:rsidRPr="00F072E2">
        <w:rPr>
          <w:rFonts w:asciiTheme="minorHAnsi" w:hAnsiTheme="minorHAnsi" w:cstheme="minorHAnsi"/>
          <w:sz w:val="22"/>
          <w:szCs w:val="22"/>
        </w:rPr>
        <w:lastRenderedPageBreak/>
        <w:t>Standards</w:t>
      </w:r>
      <w:proofErr w:type="spellEnd"/>
      <w:r w:rsidRPr="00F072E2">
        <w:rPr>
          <w:rFonts w:asciiTheme="minorHAnsi" w:hAnsiTheme="minorHAnsi" w:cstheme="minorHAnsi"/>
          <w:sz w:val="22"/>
          <w:szCs w:val="22"/>
        </w:rPr>
        <w:t xml:space="preserve">). </w:t>
      </w:r>
      <w:r w:rsidRPr="00F072E2">
        <w:rPr>
          <w:rFonts w:asciiTheme="minorHAnsi" w:hAnsiTheme="minorHAnsi" w:cstheme="minorHAnsi"/>
          <w:b/>
          <w:bCs/>
          <w:sz w:val="22"/>
          <w:szCs w:val="22"/>
        </w:rPr>
        <w:t>El fortalecimiento deberá resultar en la institucionalización permanente de sistemas técnicos en FONAFIFO, operacionales, sin dependencia de asistencia técnica externa continua.</w:t>
      </w:r>
    </w:p>
    <w:p w14:paraId="21229231" w14:textId="77777777" w:rsidR="00567CAF" w:rsidRPr="00F072E2" w:rsidRDefault="00567CAF" w:rsidP="00F072E2">
      <w:pPr>
        <w:spacing w:after="80"/>
        <w:jc w:val="both"/>
        <w:rPr>
          <w:rFonts w:asciiTheme="minorHAnsi" w:hAnsiTheme="minorHAnsi" w:cstheme="minorHAnsi"/>
          <w:sz w:val="22"/>
          <w:szCs w:val="22"/>
        </w:rPr>
      </w:pPr>
    </w:p>
    <w:p w14:paraId="464F1461"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Nota técnica — Estándares internacionales de referencia para el diseño de instrumentos</w:t>
      </w:r>
    </w:p>
    <w:p w14:paraId="62CD9804"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Los instrumentos diseñados deberán ser compatibles con los siguientes marcos de referencia internacionales, cuyo conocimiento constituye un requisito técnico para el equipo consultor:</w:t>
      </w:r>
    </w:p>
    <w:p w14:paraId="044DB5F0"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GCF </w:t>
      </w:r>
      <w:proofErr w:type="spellStart"/>
      <w:r w:rsidRPr="00F072E2">
        <w:rPr>
          <w:rFonts w:asciiTheme="minorHAnsi" w:hAnsiTheme="minorHAnsi" w:cstheme="minorHAnsi"/>
          <w:lang w:val="es-CO"/>
        </w:rPr>
        <w:t>Accreditation</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Standards</w:t>
      </w:r>
      <w:proofErr w:type="spellEnd"/>
      <w:r w:rsidRPr="00F072E2">
        <w:rPr>
          <w:rFonts w:asciiTheme="minorHAnsi" w:hAnsiTheme="minorHAnsi" w:cstheme="minorHAnsi"/>
          <w:lang w:val="es-CO"/>
        </w:rPr>
        <w:t xml:space="preserve"> y </w:t>
      </w:r>
      <w:proofErr w:type="spellStart"/>
      <w:r w:rsidRPr="00F072E2">
        <w:rPr>
          <w:rFonts w:asciiTheme="minorHAnsi" w:hAnsiTheme="minorHAnsi" w:cstheme="minorHAnsi"/>
          <w:lang w:val="es-CO"/>
        </w:rPr>
        <w:t>Fiduciary</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Principles</w:t>
      </w:r>
      <w:proofErr w:type="spellEnd"/>
      <w:r w:rsidRPr="00F072E2">
        <w:rPr>
          <w:rFonts w:asciiTheme="minorHAnsi" w:hAnsiTheme="minorHAnsi" w:cstheme="minorHAnsi"/>
          <w:lang w:val="es-CO"/>
        </w:rPr>
        <w:t xml:space="preserve"> (GCF, 2023) — para acceso a financiamiento del Fondo Verde para el Clima.</w:t>
      </w:r>
    </w:p>
    <w:p w14:paraId="34495B8E"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GEF-8 </w:t>
      </w:r>
      <w:proofErr w:type="spellStart"/>
      <w:r w:rsidRPr="00F072E2">
        <w:rPr>
          <w:rFonts w:asciiTheme="minorHAnsi" w:hAnsiTheme="minorHAnsi" w:cstheme="minorHAnsi"/>
          <w:lang w:val="es-CO"/>
        </w:rPr>
        <w:t>Programming</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Directions</w:t>
      </w:r>
      <w:proofErr w:type="spellEnd"/>
      <w:r w:rsidRPr="00F072E2">
        <w:rPr>
          <w:rFonts w:asciiTheme="minorHAnsi" w:hAnsiTheme="minorHAnsi" w:cstheme="minorHAnsi"/>
          <w:lang w:val="es-CO"/>
        </w:rPr>
        <w:t xml:space="preserve"> (GEF, 2022) — para la ventana de biodiversidad y uso de la tierra.</w:t>
      </w:r>
    </w:p>
    <w:p w14:paraId="7D4A263B"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EU </w:t>
      </w:r>
      <w:proofErr w:type="spellStart"/>
      <w:r w:rsidRPr="00F072E2">
        <w:rPr>
          <w:rFonts w:asciiTheme="minorHAnsi" w:hAnsiTheme="minorHAnsi" w:cstheme="minorHAnsi"/>
          <w:lang w:val="es-CO"/>
        </w:rPr>
        <w:t>Taxonomy</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for</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Sustainable</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Activities</w:t>
      </w:r>
      <w:proofErr w:type="spellEnd"/>
      <w:r w:rsidRPr="00F072E2">
        <w:rPr>
          <w:rFonts w:asciiTheme="minorHAnsi" w:hAnsiTheme="minorHAnsi" w:cstheme="minorHAnsi"/>
          <w:lang w:val="es-CO"/>
        </w:rPr>
        <w:t xml:space="preserve"> (Reglamento UE 2020/852) — para la elegibilidad de actividades en instrumentos financieros europeos y Global Gateway.</w:t>
      </w:r>
    </w:p>
    <w:p w14:paraId="20A9A8DC"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REDD+ Warsaw Framework y orientaciones de Katowice (UNFCCC, 2013–2018) — para actividades de reducción de emisiones forestales financiadas internacionalmente.</w:t>
      </w:r>
    </w:p>
    <w:p w14:paraId="27BFCA7A"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IUCN Blue Carbon </w:t>
      </w:r>
      <w:proofErr w:type="spellStart"/>
      <w:r w:rsidRPr="00F072E2">
        <w:rPr>
          <w:rFonts w:asciiTheme="minorHAnsi" w:hAnsiTheme="minorHAnsi" w:cstheme="minorHAnsi"/>
          <w:lang w:val="es-CO"/>
        </w:rPr>
        <w:t>Guidelines</w:t>
      </w:r>
      <w:proofErr w:type="spellEnd"/>
      <w:r w:rsidRPr="00F072E2">
        <w:rPr>
          <w:rFonts w:asciiTheme="minorHAnsi" w:hAnsiTheme="minorHAnsi" w:cstheme="minorHAnsi"/>
          <w:lang w:val="es-CO"/>
        </w:rPr>
        <w:t xml:space="preserve"> (Howard et al., 2014) y Verra Blue Carbon Standard — para el componente marino-costero (manglares, praderas marinas).</w:t>
      </w:r>
    </w:p>
    <w:p w14:paraId="03C779E6"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IFC Performance </w:t>
      </w:r>
      <w:proofErr w:type="spellStart"/>
      <w:r w:rsidRPr="00F072E2">
        <w:rPr>
          <w:rFonts w:asciiTheme="minorHAnsi" w:hAnsiTheme="minorHAnsi" w:cstheme="minorHAnsi"/>
          <w:lang w:val="es-CO"/>
        </w:rPr>
        <w:t>Standards</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on</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Environmental</w:t>
      </w:r>
      <w:proofErr w:type="spellEnd"/>
      <w:r w:rsidRPr="00F072E2">
        <w:rPr>
          <w:rFonts w:asciiTheme="minorHAnsi" w:hAnsiTheme="minorHAnsi" w:cstheme="minorHAnsi"/>
          <w:lang w:val="es-CO"/>
        </w:rPr>
        <w:t xml:space="preserve"> &amp; Social </w:t>
      </w:r>
      <w:proofErr w:type="spellStart"/>
      <w:r w:rsidRPr="00F072E2">
        <w:rPr>
          <w:rFonts w:asciiTheme="minorHAnsi" w:hAnsiTheme="minorHAnsi" w:cstheme="minorHAnsi"/>
          <w:lang w:val="es-CO"/>
        </w:rPr>
        <w:t>Sustainability</w:t>
      </w:r>
      <w:proofErr w:type="spellEnd"/>
      <w:r w:rsidRPr="00F072E2">
        <w:rPr>
          <w:rFonts w:asciiTheme="minorHAnsi" w:hAnsiTheme="minorHAnsi" w:cstheme="minorHAnsi"/>
          <w:lang w:val="es-CO"/>
        </w:rPr>
        <w:t xml:space="preserve"> (IFC, 2012, </w:t>
      </w:r>
      <w:proofErr w:type="spellStart"/>
      <w:r w:rsidRPr="00F072E2">
        <w:rPr>
          <w:rFonts w:asciiTheme="minorHAnsi" w:hAnsiTheme="minorHAnsi" w:cstheme="minorHAnsi"/>
          <w:lang w:val="es-CO"/>
        </w:rPr>
        <w:t>rev.</w:t>
      </w:r>
      <w:proofErr w:type="spellEnd"/>
      <w:r w:rsidRPr="00F072E2">
        <w:rPr>
          <w:rFonts w:asciiTheme="minorHAnsi" w:hAnsiTheme="minorHAnsi" w:cstheme="minorHAnsi"/>
          <w:lang w:val="es-CO"/>
        </w:rPr>
        <w:t xml:space="preserve"> 2020) — para salvaguardas sociales y ambientales de los instrumentos con participación del sector privado.</w:t>
      </w:r>
    </w:p>
    <w:p w14:paraId="169C1C49"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TNFD Framework (</w:t>
      </w:r>
      <w:proofErr w:type="spellStart"/>
      <w:r w:rsidRPr="00F072E2">
        <w:rPr>
          <w:rFonts w:asciiTheme="minorHAnsi" w:hAnsiTheme="minorHAnsi" w:cstheme="minorHAnsi"/>
          <w:lang w:val="es-CO"/>
        </w:rPr>
        <w:t>Taskforce</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on</w:t>
      </w:r>
      <w:proofErr w:type="spellEnd"/>
      <w:r w:rsidRPr="00F072E2">
        <w:rPr>
          <w:rFonts w:asciiTheme="minorHAnsi" w:hAnsiTheme="minorHAnsi" w:cstheme="minorHAnsi"/>
          <w:lang w:val="es-CO"/>
        </w:rPr>
        <w:t xml:space="preserve"> Nature-</w:t>
      </w:r>
      <w:proofErr w:type="spellStart"/>
      <w:r w:rsidRPr="00F072E2">
        <w:rPr>
          <w:rFonts w:asciiTheme="minorHAnsi" w:hAnsiTheme="minorHAnsi" w:cstheme="minorHAnsi"/>
          <w:lang w:val="es-CO"/>
        </w:rPr>
        <w:t>related</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Financial</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Disclosures</w:t>
      </w:r>
      <w:proofErr w:type="spellEnd"/>
      <w:r w:rsidRPr="00F072E2">
        <w:rPr>
          <w:rFonts w:asciiTheme="minorHAnsi" w:hAnsiTheme="minorHAnsi" w:cstheme="minorHAnsi"/>
          <w:lang w:val="es-CO"/>
        </w:rPr>
        <w:t>, 2023) — para el reporte de riesgos y dependencias de naturaleza ante financiadores institucionales.</w:t>
      </w:r>
    </w:p>
    <w:p w14:paraId="7DF5EB0A"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CPI </w:t>
      </w:r>
      <w:proofErr w:type="spellStart"/>
      <w:r w:rsidRPr="00F072E2">
        <w:rPr>
          <w:rFonts w:asciiTheme="minorHAnsi" w:hAnsiTheme="minorHAnsi" w:cstheme="minorHAnsi"/>
          <w:lang w:val="es-CO"/>
        </w:rPr>
        <w:t>Blended</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Finance</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Principles</w:t>
      </w:r>
      <w:proofErr w:type="spellEnd"/>
      <w:r w:rsidRPr="00F072E2">
        <w:rPr>
          <w:rFonts w:asciiTheme="minorHAnsi" w:hAnsiTheme="minorHAnsi" w:cstheme="minorHAnsi"/>
          <w:lang w:val="es-CO"/>
        </w:rPr>
        <w:t xml:space="preserve"> (CPI, 2023) — para la estructuración de instrumentos que movilicen capital privado sobre bases de financiamiento público y concesional.</w:t>
      </w:r>
    </w:p>
    <w:p w14:paraId="5E46EC9F" w14:textId="77777777" w:rsidR="00567CAF" w:rsidRPr="00F072E2" w:rsidRDefault="00567CAF" w:rsidP="00F072E2">
      <w:pPr>
        <w:spacing w:after="80"/>
        <w:jc w:val="both"/>
        <w:rPr>
          <w:rFonts w:asciiTheme="minorHAnsi" w:hAnsiTheme="minorHAnsi" w:cstheme="minorHAnsi"/>
          <w:sz w:val="22"/>
          <w:szCs w:val="22"/>
        </w:rPr>
      </w:pPr>
    </w:p>
    <w:p w14:paraId="61F071B1"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5. ACTIVIDADES PRINCIPALES</w:t>
      </w:r>
    </w:p>
    <w:p w14:paraId="60467CA6" w14:textId="77777777" w:rsidR="00567CAF" w:rsidRPr="00F072E2" w:rsidRDefault="00D86CA1" w:rsidP="00F072E2">
      <w:pPr>
        <w:pStyle w:val="Ttulo2"/>
        <w:jc w:val="both"/>
        <w:rPr>
          <w:rFonts w:cstheme="minorHAnsi"/>
          <w:sz w:val="22"/>
          <w:szCs w:val="22"/>
        </w:rPr>
      </w:pPr>
      <w:r w:rsidRPr="00F072E2">
        <w:rPr>
          <w:rFonts w:cstheme="minorHAnsi"/>
          <w:sz w:val="22"/>
          <w:szCs w:val="22"/>
        </w:rPr>
        <w:t>5.1 Fase de arranque</w:t>
      </w:r>
    </w:p>
    <w:p w14:paraId="0B28D4FC"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Objetivo: establecer las bases técnicas, institucionales y de coordinación para el inicio efectivo de la consultoría, garantizando que todas las partes comparten una visión común sobre el alcance, la metodología y los entregables antes de iniciar el trabajo sustantivo.</w:t>
      </w:r>
    </w:p>
    <w:p w14:paraId="387F7182" w14:textId="77777777" w:rsidR="00567CAF" w:rsidRPr="00F072E2" w:rsidRDefault="00567CAF" w:rsidP="00F072E2">
      <w:pPr>
        <w:spacing w:after="80"/>
        <w:jc w:val="both"/>
        <w:rPr>
          <w:rFonts w:asciiTheme="minorHAnsi" w:hAnsiTheme="minorHAnsi" w:cstheme="minorHAnsi"/>
          <w:sz w:val="22"/>
          <w:szCs w:val="22"/>
        </w:rPr>
      </w:pPr>
    </w:p>
    <w:p w14:paraId="0C325748"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Actividades mínimas:</w:t>
      </w:r>
    </w:p>
    <w:p w14:paraId="024B0A7A"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Reunión de inicio con FONAFIFO/MINAE y Expertise France: presentación del equipo, validación de expectativas, acuerdos de coordinación y comunicación.</w:t>
      </w:r>
    </w:p>
    <w:p w14:paraId="13DD88F8" w14:textId="26DCBC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Ajuste de metodología, cronograma y plan de participación: identificación de las fuentes de información, incorporación de observaciones institucionales y definición de los mecanismos de consulta con actores clave.</w:t>
      </w:r>
    </w:p>
    <w:p w14:paraId="34DC50BD"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Mapeo inicial de actores y capacidades institucionales: FONAFIFO, MINAE, Ministerio de Hacienda, aliados técnicos nacionales, potenciales financiadores internacionales — incluyendo un análisis preliminar de economía política y alineamiento de incentivos.</w:t>
      </w:r>
    </w:p>
    <w:p w14:paraId="03122773" w14:textId="77777777" w:rsidR="00567CAF" w:rsidRPr="00F072E2" w:rsidRDefault="00567CAF" w:rsidP="00F072E2">
      <w:pPr>
        <w:spacing w:after="80"/>
        <w:jc w:val="both"/>
        <w:rPr>
          <w:rFonts w:asciiTheme="minorHAnsi" w:hAnsiTheme="minorHAnsi" w:cstheme="minorHAnsi"/>
          <w:sz w:val="22"/>
          <w:szCs w:val="22"/>
        </w:rPr>
      </w:pPr>
    </w:p>
    <w:p w14:paraId="6A801083" w14:textId="6AE790A2"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Entregable 1:</w:t>
      </w:r>
      <w:r w:rsidRPr="00F072E2">
        <w:rPr>
          <w:rFonts w:asciiTheme="minorHAnsi" w:hAnsiTheme="minorHAnsi" w:cstheme="minorHAnsi"/>
          <w:sz w:val="22"/>
          <w:szCs w:val="22"/>
        </w:rPr>
        <w:t xml:space="preserve"> Informe de inicio con metodología y plan de trabajo actualizado (incluye matriz de actores, plan de validación, cronograma detallado, plan de aseguramiento de calidad y plan de ges</w:t>
      </w:r>
      <w:r w:rsidR="00FB17EC">
        <w:rPr>
          <w:rFonts w:asciiTheme="minorHAnsi" w:hAnsiTheme="minorHAnsi" w:cstheme="minorHAnsi"/>
          <w:sz w:val="22"/>
          <w:szCs w:val="22"/>
        </w:rPr>
        <w:t>tión de riesgos). Plazo: T0 + 15</w:t>
      </w:r>
      <w:r w:rsidRPr="00F072E2">
        <w:rPr>
          <w:rFonts w:asciiTheme="minorHAnsi" w:hAnsiTheme="minorHAnsi" w:cstheme="minorHAnsi"/>
          <w:sz w:val="22"/>
          <w:szCs w:val="22"/>
        </w:rPr>
        <w:t xml:space="preserve"> días hábiles.</w:t>
      </w:r>
    </w:p>
    <w:p w14:paraId="4E065219" w14:textId="77777777" w:rsidR="00567CAF" w:rsidRPr="00F072E2" w:rsidRDefault="00567CAF" w:rsidP="00F072E2">
      <w:pPr>
        <w:spacing w:after="80"/>
        <w:jc w:val="both"/>
        <w:rPr>
          <w:rFonts w:asciiTheme="minorHAnsi" w:hAnsiTheme="minorHAnsi" w:cstheme="minorHAnsi"/>
          <w:sz w:val="22"/>
          <w:szCs w:val="22"/>
        </w:rPr>
      </w:pPr>
    </w:p>
    <w:p w14:paraId="63887820" w14:textId="77777777" w:rsidR="00567CAF" w:rsidRPr="00F072E2" w:rsidRDefault="00D86CA1" w:rsidP="00F072E2">
      <w:pPr>
        <w:pStyle w:val="Ttulo2"/>
        <w:jc w:val="both"/>
        <w:rPr>
          <w:rFonts w:cstheme="minorHAnsi"/>
          <w:sz w:val="22"/>
          <w:szCs w:val="22"/>
        </w:rPr>
      </w:pPr>
      <w:r w:rsidRPr="00F072E2">
        <w:rPr>
          <w:rFonts w:cstheme="minorHAnsi"/>
          <w:sz w:val="22"/>
          <w:szCs w:val="22"/>
        </w:rPr>
        <w:t>5.2 Actividad 1 — Diagnóstico, mapeo y priorización de oportunidades de financiamiento</w:t>
      </w:r>
    </w:p>
    <w:p w14:paraId="057544D0"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Objetivo: producir una visión completa, analíticamente rigurosa y operacionalmente utilizable del panorama de financiamiento climático para el PSA costarricense, que sirva como insumo directo para el diseño de los instrumentos financieros. </w:t>
      </w:r>
      <w:r w:rsidRPr="00F072E2">
        <w:rPr>
          <w:rFonts w:asciiTheme="minorHAnsi" w:hAnsiTheme="minorHAnsi" w:cstheme="minorHAnsi"/>
          <w:b/>
          <w:bCs/>
          <w:sz w:val="22"/>
          <w:szCs w:val="22"/>
        </w:rPr>
        <w:t>El mapeo priorizará los instrumentos del Global Gateway de la Unión Europea</w:t>
      </w:r>
      <w:r w:rsidRPr="00F072E2">
        <w:rPr>
          <w:rFonts w:asciiTheme="minorHAnsi" w:hAnsiTheme="minorHAnsi" w:cstheme="minorHAnsi"/>
          <w:sz w:val="22"/>
          <w:szCs w:val="22"/>
        </w:rPr>
        <w:t xml:space="preserve"> como primera ventana estratégica de oportunidad.</w:t>
      </w:r>
    </w:p>
    <w:p w14:paraId="7EDD833A" w14:textId="77777777" w:rsidR="00567CAF" w:rsidRPr="00F072E2" w:rsidRDefault="00567CAF" w:rsidP="00F072E2">
      <w:pPr>
        <w:spacing w:after="80"/>
        <w:jc w:val="both"/>
        <w:rPr>
          <w:rFonts w:asciiTheme="minorHAnsi" w:hAnsiTheme="minorHAnsi" w:cstheme="minorHAnsi"/>
          <w:sz w:val="22"/>
          <w:szCs w:val="22"/>
        </w:rPr>
      </w:pPr>
    </w:p>
    <w:p w14:paraId="13003398" w14:textId="23DACD33"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La bibliografía internacional indica que la sostenibilidad financiera de los esquemas PSA depende críticamente de tres factores: la diversidad de fuentes de financiamiento, la reducción de los costos de transacción asociados al MRV y la correcta valoración de los </w:t>
      </w:r>
      <w:proofErr w:type="spellStart"/>
      <w:r w:rsidRPr="00F072E2">
        <w:rPr>
          <w:rFonts w:asciiTheme="minorHAnsi" w:hAnsiTheme="minorHAnsi" w:cstheme="minorHAnsi"/>
          <w:sz w:val="22"/>
          <w:szCs w:val="22"/>
        </w:rPr>
        <w:t>co-beneficios</w:t>
      </w:r>
      <w:proofErr w:type="spellEnd"/>
      <w:r w:rsidRPr="00F072E2">
        <w:rPr>
          <w:rFonts w:asciiTheme="minorHAnsi" w:hAnsiTheme="minorHAnsi" w:cstheme="minorHAnsi"/>
          <w:sz w:val="22"/>
          <w:szCs w:val="22"/>
        </w:rPr>
        <w:t xml:space="preserve"> de biodiversidad y agua en el caso de inversión presentado a los financiadores. La subactividad de diagnóstico deberá abordar de manera explícita estos tres factores en el contexto costarricense. El diagnostico deberá también revisar las modalidades de implementación de los instrumentos analizados para rescatar sus condiciones habilitantes.</w:t>
      </w:r>
    </w:p>
    <w:p w14:paraId="09C81AE0" w14:textId="77777777" w:rsidR="00567CAF" w:rsidRPr="00F072E2" w:rsidRDefault="00567CAF" w:rsidP="00F072E2">
      <w:pPr>
        <w:spacing w:after="80"/>
        <w:jc w:val="both"/>
        <w:rPr>
          <w:rFonts w:asciiTheme="minorHAnsi" w:hAnsiTheme="minorHAnsi" w:cstheme="minorHAnsi"/>
          <w:sz w:val="22"/>
          <w:szCs w:val="22"/>
        </w:rPr>
      </w:pPr>
    </w:p>
    <w:p w14:paraId="5CBBAFE2"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Subactividades mínimas:</w:t>
      </w:r>
    </w:p>
    <w:p w14:paraId="275746E5" w14:textId="4C22D400"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Mapeo exhaustivo de instrumentos: </w:t>
      </w:r>
      <w:r w:rsidRPr="00F072E2">
        <w:rPr>
          <w:rFonts w:asciiTheme="minorHAnsi" w:hAnsiTheme="minorHAnsi" w:cstheme="minorHAnsi"/>
          <w:lang w:val="es-CO"/>
        </w:rPr>
        <w:t xml:space="preserve">con prioridad en Global Gateway EU (EFSD+, NDICI-Global Europe, Team Europe), seguido de fondos climáticos (GCF, GEF), cooperación bilateral (AFD, KfW, BID, CAF, focalización especial en cooperación EU directa), pagos por resultados (REDD+ ERPs, Forest Carbon </w:t>
      </w:r>
      <w:proofErr w:type="spellStart"/>
      <w:r w:rsidRPr="00F072E2">
        <w:rPr>
          <w:rFonts w:asciiTheme="minorHAnsi" w:hAnsiTheme="minorHAnsi" w:cstheme="minorHAnsi"/>
          <w:lang w:val="es-CO"/>
        </w:rPr>
        <w:t>Partnership</w:t>
      </w:r>
      <w:proofErr w:type="spellEnd"/>
      <w:r w:rsidRPr="00F072E2">
        <w:rPr>
          <w:rFonts w:asciiTheme="minorHAnsi" w:hAnsiTheme="minorHAnsi" w:cstheme="minorHAnsi"/>
          <w:lang w:val="es-CO"/>
        </w:rPr>
        <w:t xml:space="preserve"> </w:t>
      </w:r>
      <w:proofErr w:type="spellStart"/>
      <w:r w:rsidRPr="00F072E2">
        <w:rPr>
          <w:rFonts w:asciiTheme="minorHAnsi" w:hAnsiTheme="minorHAnsi" w:cstheme="minorHAnsi"/>
          <w:lang w:val="es-CO"/>
        </w:rPr>
        <w:t>Facility</w:t>
      </w:r>
      <w:proofErr w:type="spellEnd"/>
      <w:r w:rsidRPr="00F072E2">
        <w:rPr>
          <w:rFonts w:asciiTheme="minorHAnsi" w:hAnsiTheme="minorHAnsi" w:cstheme="minorHAnsi"/>
          <w:lang w:val="es-CO"/>
        </w:rPr>
        <w:t xml:space="preserve">), bonos temáticos verdes y azules, aportaciones corporativas y mecanismos de </w:t>
      </w:r>
      <w:proofErr w:type="spellStart"/>
      <w:r w:rsidRPr="00F072E2">
        <w:rPr>
          <w:rFonts w:asciiTheme="minorHAnsi" w:hAnsiTheme="minorHAnsi" w:cstheme="minorHAnsi"/>
          <w:lang w:val="es-CO"/>
        </w:rPr>
        <w:t>debt-for-nature</w:t>
      </w:r>
      <w:proofErr w:type="spellEnd"/>
      <w:r w:rsidRPr="00F072E2">
        <w:rPr>
          <w:rFonts w:asciiTheme="minorHAnsi" w:hAnsiTheme="minorHAnsi" w:cstheme="minorHAnsi"/>
          <w:lang w:val="es-CO"/>
        </w:rPr>
        <w:t xml:space="preserve"> swaps. Para cada instrumento se documentará: ventana de financiamiento aplicable, tamaño típico de operación, volúmenes financieros movilizables, costos de transacción y tiempo estimado de acceso.</w:t>
      </w:r>
    </w:p>
    <w:p w14:paraId="5A479834" w14:textId="2BE43718"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Análisis fiduciario, legal, normativo y de MRV por instrumento priorizado: requisitos de acreditación, documentación exigida, capacidades fiduciarias requeridas, riesgos identificados y condiciones habilitantes. El análisis incorporará una estimación realista de los costos de monitoreo, incluyendo los factores de incremento de costo asociados a verificación en campo, dispersión de predios y limitaciones tecnológicas — aspecto crítico documentado en experiencias comparadas de esquemas similares.</w:t>
      </w:r>
    </w:p>
    <w:p w14:paraId="07A6FB01" w14:textId="16C16379"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Matriz multicriterio de priorización de instrumentos: </w:t>
      </w:r>
      <w:r w:rsidRPr="00F072E2">
        <w:rPr>
          <w:rFonts w:asciiTheme="minorHAnsi" w:hAnsiTheme="minorHAnsi" w:cstheme="minorHAnsi"/>
          <w:lang w:val="es-CO"/>
        </w:rPr>
        <w:t>criterio de operatividad de los instrumentos,</w:t>
      </w:r>
      <w:r w:rsidRPr="00F072E2">
        <w:rPr>
          <w:rFonts w:asciiTheme="minorHAnsi" w:hAnsiTheme="minorHAnsi" w:cstheme="minorHAnsi"/>
          <w:b/>
          <w:lang w:val="es-CO"/>
        </w:rPr>
        <w:t xml:space="preserve"> </w:t>
      </w:r>
      <w:r w:rsidRPr="00F072E2">
        <w:rPr>
          <w:rFonts w:asciiTheme="minorHAnsi" w:hAnsiTheme="minorHAnsi" w:cstheme="minorHAnsi"/>
          <w:lang w:val="es-CO"/>
        </w:rPr>
        <w:t xml:space="preserve">evaluación de factibilidad legal y fiduciaria, monto potencial movilizable, costos de transacción, tiempo esperado de acceso, riesgos, </w:t>
      </w:r>
      <w:proofErr w:type="spellStart"/>
      <w:r w:rsidRPr="00F072E2">
        <w:rPr>
          <w:rFonts w:asciiTheme="minorHAnsi" w:hAnsiTheme="minorHAnsi" w:cstheme="minorHAnsi"/>
          <w:lang w:val="es-CO"/>
        </w:rPr>
        <w:t>co-beneficios</w:t>
      </w:r>
      <w:proofErr w:type="spellEnd"/>
      <w:r w:rsidRPr="00F072E2">
        <w:rPr>
          <w:rFonts w:asciiTheme="minorHAnsi" w:hAnsiTheme="minorHAnsi" w:cstheme="minorHAnsi"/>
          <w:lang w:val="es-CO"/>
        </w:rPr>
        <w:t xml:space="preserve"> de biodiversidad y alineamiento con la Taxonomía Verde de la UE, el Global Gateway y los marcos TNFD. La matriz producirá paquetes de acción diferenciados por horizonte temporal: oportunidades de corto plazo (0–6 meses desde T0) y de mediano plazo (6–18 meses desde T0).</w:t>
      </w:r>
    </w:p>
    <w:p w14:paraId="2BF80F5C"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Análisis de riesgos de efectividad PSA: identificación y cuantificación de riesgos de no cumplimiento de contratos, selección adversa de participantes, </w:t>
      </w:r>
      <w:proofErr w:type="spellStart"/>
      <w:r w:rsidRPr="00F072E2">
        <w:rPr>
          <w:rFonts w:asciiTheme="minorHAnsi" w:hAnsiTheme="minorHAnsi" w:cstheme="minorHAnsi"/>
          <w:i/>
          <w:lang w:val="es-CO"/>
        </w:rPr>
        <w:t>spillovers</w:t>
      </w:r>
      <w:proofErr w:type="spellEnd"/>
      <w:r w:rsidRPr="00F072E2">
        <w:rPr>
          <w:rFonts w:asciiTheme="minorHAnsi" w:hAnsiTheme="minorHAnsi" w:cstheme="minorHAnsi"/>
          <w:lang w:val="es-CO"/>
        </w:rPr>
        <w:t xml:space="preserve"> de deforestación fuera de áreas PSA, captura por élites y riesgo de permanencia. Para cada riesgo identificado, se propondrá un indicador de monitoreo y una medida de mitigación específica incorporable en el diseño del instrumento financiero.</w:t>
      </w:r>
    </w:p>
    <w:p w14:paraId="66720686" w14:textId="77777777" w:rsidR="00567CAF" w:rsidRPr="00F072E2" w:rsidRDefault="00567CAF" w:rsidP="00F072E2">
      <w:pPr>
        <w:spacing w:after="80"/>
        <w:jc w:val="both"/>
        <w:rPr>
          <w:rFonts w:asciiTheme="minorHAnsi" w:hAnsiTheme="minorHAnsi" w:cstheme="minorHAnsi"/>
          <w:sz w:val="22"/>
          <w:szCs w:val="22"/>
        </w:rPr>
      </w:pPr>
    </w:p>
    <w:p w14:paraId="3F71352C" w14:textId="6A33B5DF"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Entregable 2:</w:t>
      </w:r>
      <w:r w:rsidRPr="00F072E2">
        <w:rPr>
          <w:rFonts w:asciiTheme="minorHAnsi" w:hAnsiTheme="minorHAnsi" w:cstheme="minorHAnsi"/>
          <w:sz w:val="22"/>
          <w:szCs w:val="22"/>
        </w:rPr>
        <w:t xml:space="preserve"> Mapeo de oportunidades + matriz multicriterio de priorización, incluyendo brechas financieras, técnicas, institucionales, reglamentarias, MR</w:t>
      </w:r>
      <w:r w:rsidR="00FB17EC">
        <w:rPr>
          <w:rFonts w:asciiTheme="minorHAnsi" w:hAnsiTheme="minorHAnsi" w:cstheme="minorHAnsi"/>
          <w:sz w:val="22"/>
          <w:szCs w:val="22"/>
        </w:rPr>
        <w:t>V y salvaguardas. Plazo: T0 + 35</w:t>
      </w:r>
      <w:r w:rsidRPr="00F072E2">
        <w:rPr>
          <w:rFonts w:asciiTheme="minorHAnsi" w:hAnsiTheme="minorHAnsi" w:cstheme="minorHAnsi"/>
          <w:sz w:val="22"/>
          <w:szCs w:val="22"/>
        </w:rPr>
        <w:t xml:space="preserve"> días hábiles.</w:t>
      </w:r>
    </w:p>
    <w:p w14:paraId="7511A170" w14:textId="77777777" w:rsidR="00567CAF" w:rsidRPr="00F072E2" w:rsidRDefault="00567CAF" w:rsidP="00F072E2">
      <w:pPr>
        <w:spacing w:after="80"/>
        <w:jc w:val="both"/>
        <w:rPr>
          <w:rFonts w:asciiTheme="minorHAnsi" w:hAnsiTheme="minorHAnsi" w:cstheme="minorHAnsi"/>
          <w:sz w:val="22"/>
          <w:szCs w:val="22"/>
        </w:rPr>
      </w:pPr>
    </w:p>
    <w:p w14:paraId="406B3854" w14:textId="77777777" w:rsidR="00567CAF" w:rsidRPr="00F072E2" w:rsidRDefault="00D86CA1" w:rsidP="00F072E2">
      <w:pPr>
        <w:pStyle w:val="Ttulo2"/>
        <w:jc w:val="both"/>
        <w:rPr>
          <w:rFonts w:cstheme="minorHAnsi"/>
          <w:sz w:val="22"/>
          <w:szCs w:val="22"/>
        </w:rPr>
      </w:pPr>
      <w:r w:rsidRPr="00F072E2">
        <w:rPr>
          <w:rFonts w:cstheme="minorHAnsi"/>
          <w:sz w:val="22"/>
          <w:szCs w:val="22"/>
        </w:rPr>
        <w:lastRenderedPageBreak/>
        <w:t>5.3 Actividad 2 — Diseño y estructuración de productos financieros y estrategia de movilización</w:t>
      </w:r>
    </w:p>
    <w:p w14:paraId="6C5CC50E" w14:textId="202F7E5E"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Esta actividad es el núcleo de la consultoría. Su objetivo es convertir las oportunidades identificadas en el diagnóstico en instrumentos financieros concretos, estructurados, operacionales para el contexto costarricense y listos para ser negociados con financiadores internacionales. </w:t>
      </w:r>
    </w:p>
    <w:p w14:paraId="3E00A26C" w14:textId="77777777" w:rsidR="00567CAF" w:rsidRPr="00F072E2" w:rsidRDefault="00567CAF" w:rsidP="00F072E2">
      <w:pPr>
        <w:spacing w:after="80"/>
        <w:jc w:val="both"/>
        <w:rPr>
          <w:rFonts w:asciiTheme="minorHAnsi" w:hAnsiTheme="minorHAnsi" w:cstheme="minorHAnsi"/>
          <w:sz w:val="22"/>
          <w:szCs w:val="22"/>
        </w:rPr>
      </w:pPr>
    </w:p>
    <w:p w14:paraId="3963D849"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Subactividades mínimas:</w:t>
      </w:r>
    </w:p>
    <w:p w14:paraId="466D3432"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Diseño de 3 productos financieros estructurados:</w:t>
      </w:r>
    </w:p>
    <w:p w14:paraId="66784D89" w14:textId="77777777" w:rsidR="00567CAF" w:rsidRPr="00F072E2" w:rsidRDefault="00D86CA1" w:rsidP="00F072E2">
      <w:pPr>
        <w:spacing w:before="40" w:after="60"/>
        <w:jc w:val="both"/>
        <w:rPr>
          <w:rFonts w:asciiTheme="minorHAnsi" w:hAnsiTheme="minorHAnsi" w:cstheme="minorHAnsi"/>
          <w:sz w:val="22"/>
          <w:szCs w:val="22"/>
        </w:rPr>
      </w:pPr>
      <w:r w:rsidRPr="00F072E2">
        <w:rPr>
          <w:rFonts w:asciiTheme="minorHAnsi" w:hAnsiTheme="minorHAnsi" w:cstheme="minorHAnsi"/>
          <w:sz w:val="22"/>
          <w:szCs w:val="22"/>
        </w:rPr>
        <w:t xml:space="preserve">– Un producto para </w:t>
      </w:r>
      <w:r w:rsidRPr="00F072E2">
        <w:rPr>
          <w:rFonts w:asciiTheme="minorHAnsi" w:hAnsiTheme="minorHAnsi" w:cstheme="minorHAnsi"/>
          <w:b/>
          <w:bCs/>
          <w:sz w:val="22"/>
          <w:szCs w:val="22"/>
        </w:rPr>
        <w:t>PSA forestal 2.0:</w:t>
      </w:r>
      <w:r w:rsidRPr="00F072E2">
        <w:rPr>
          <w:rFonts w:asciiTheme="minorHAnsi" w:hAnsiTheme="minorHAnsi" w:cstheme="minorHAnsi"/>
          <w:sz w:val="22"/>
          <w:szCs w:val="22"/>
        </w:rPr>
        <w:t xml:space="preserve"> que identifique nuevos mecanismos o instrumentos y recursos financieros frescos para bosques naturales, restauración y conectividad ecológica, orientado a un PSA Forestal 2.0 con MRV digital, trazabilidad de </w:t>
      </w:r>
      <w:proofErr w:type="spellStart"/>
      <w:r w:rsidRPr="00F072E2">
        <w:rPr>
          <w:rFonts w:asciiTheme="minorHAnsi" w:hAnsiTheme="minorHAnsi" w:cstheme="minorHAnsi"/>
          <w:sz w:val="22"/>
          <w:szCs w:val="22"/>
        </w:rPr>
        <w:t>co-beneficios</w:t>
      </w:r>
      <w:proofErr w:type="spellEnd"/>
      <w:r w:rsidRPr="00F072E2">
        <w:rPr>
          <w:rFonts w:asciiTheme="minorHAnsi" w:hAnsiTheme="minorHAnsi" w:cstheme="minorHAnsi"/>
          <w:sz w:val="22"/>
          <w:szCs w:val="22"/>
        </w:rPr>
        <w:t xml:space="preserve"> de carbono, biodiversidad y agua, esquema de condicionalidad y permanencia verificable, mecanismo de distribución de beneficios con enfoque territorial e indígena-comunitario, y compatibilidad con pagos por resultados REDD+, mercados de biodiversidad y ventanas de financiamiento y cooperación climática </w:t>
      </w:r>
      <w:proofErr w:type="spellStart"/>
      <w:r w:rsidRPr="00F072E2">
        <w:rPr>
          <w:rFonts w:asciiTheme="minorHAnsi" w:hAnsiTheme="minorHAnsi" w:cstheme="minorHAnsi"/>
          <w:sz w:val="22"/>
          <w:szCs w:val="22"/>
        </w:rPr>
        <w:t>bi</w:t>
      </w:r>
      <w:proofErr w:type="spellEnd"/>
      <w:r w:rsidRPr="00F072E2">
        <w:rPr>
          <w:rFonts w:asciiTheme="minorHAnsi" w:hAnsiTheme="minorHAnsi" w:cstheme="minorHAnsi"/>
          <w:sz w:val="22"/>
          <w:szCs w:val="22"/>
        </w:rPr>
        <w:t xml:space="preserve"> y multilateral.</w:t>
      </w:r>
    </w:p>
    <w:p w14:paraId="304365C6" w14:textId="77777777" w:rsidR="00567CAF" w:rsidRPr="00F072E2" w:rsidRDefault="00D86CA1" w:rsidP="00F072E2">
      <w:pPr>
        <w:spacing w:before="40" w:after="60"/>
        <w:jc w:val="both"/>
        <w:rPr>
          <w:rFonts w:asciiTheme="minorHAnsi" w:hAnsiTheme="minorHAnsi" w:cstheme="minorHAnsi"/>
          <w:sz w:val="22"/>
          <w:szCs w:val="22"/>
        </w:rPr>
      </w:pPr>
      <w:r w:rsidRPr="00F072E2">
        <w:rPr>
          <w:rFonts w:asciiTheme="minorHAnsi" w:hAnsiTheme="minorHAnsi" w:cstheme="minorHAnsi"/>
          <w:sz w:val="22"/>
          <w:szCs w:val="22"/>
        </w:rPr>
        <w:t xml:space="preserve">– Un producto para </w:t>
      </w:r>
      <w:r w:rsidRPr="00F072E2">
        <w:rPr>
          <w:rFonts w:asciiTheme="minorHAnsi" w:hAnsiTheme="minorHAnsi" w:cstheme="minorHAnsi"/>
          <w:b/>
          <w:bCs/>
          <w:sz w:val="22"/>
          <w:szCs w:val="22"/>
        </w:rPr>
        <w:t>PSA marino-costero:</w:t>
      </w:r>
      <w:r w:rsidRPr="00F072E2">
        <w:rPr>
          <w:rFonts w:asciiTheme="minorHAnsi" w:hAnsiTheme="minorHAnsi" w:cstheme="minorHAnsi"/>
          <w:sz w:val="22"/>
          <w:szCs w:val="22"/>
        </w:rPr>
        <w:t xml:space="preserve"> instrumento de financiamiento para manglares y comunidades pesqueras artesanales, incorporando estándares de carbono azul (IUCN Blue Carbon Guidelines, Verra Blue Carbon Standard), esquema de condicionalidad verificable, mecanismo de distribución de beneficios con enfoque de género, y compatibilidad con ventanas de financiamiento del GCF y GEF.</w:t>
      </w:r>
    </w:p>
    <w:p w14:paraId="24A43113" w14:textId="7E30FA1D" w:rsidR="00567CAF" w:rsidRPr="00F072E2" w:rsidRDefault="00D86CA1" w:rsidP="00F072E2">
      <w:pPr>
        <w:spacing w:before="40" w:after="60"/>
        <w:jc w:val="both"/>
        <w:rPr>
          <w:rFonts w:asciiTheme="minorHAnsi" w:hAnsiTheme="minorHAnsi" w:cstheme="minorHAnsi"/>
          <w:sz w:val="22"/>
          <w:szCs w:val="22"/>
        </w:rPr>
      </w:pPr>
      <w:r w:rsidRPr="00F072E2">
        <w:rPr>
          <w:rFonts w:asciiTheme="minorHAnsi" w:hAnsiTheme="minorHAnsi" w:cstheme="minorHAnsi"/>
          <w:sz w:val="22"/>
          <w:szCs w:val="22"/>
        </w:rPr>
        <w:t xml:space="preserve">– Un producto para </w:t>
      </w:r>
      <w:r w:rsidRPr="00F072E2">
        <w:rPr>
          <w:rFonts w:asciiTheme="minorHAnsi" w:hAnsiTheme="minorHAnsi" w:cstheme="minorHAnsi"/>
          <w:b/>
          <w:bCs/>
          <w:sz w:val="22"/>
          <w:szCs w:val="22"/>
        </w:rPr>
        <w:t>PSA agropecuario incluyendo suelos:</w:t>
      </w:r>
      <w:r w:rsidRPr="00F072E2">
        <w:rPr>
          <w:rFonts w:asciiTheme="minorHAnsi" w:hAnsiTheme="minorHAnsi" w:cstheme="minorHAnsi"/>
          <w:sz w:val="22"/>
          <w:szCs w:val="22"/>
        </w:rPr>
        <w:t xml:space="preserve"> instrumento para sistemas </w:t>
      </w:r>
      <w:r w:rsidR="006E7966" w:rsidRPr="00F072E2">
        <w:rPr>
          <w:rFonts w:asciiTheme="minorHAnsi" w:hAnsiTheme="minorHAnsi" w:cstheme="minorHAnsi"/>
          <w:sz w:val="22"/>
          <w:szCs w:val="22"/>
        </w:rPr>
        <w:t>silvopastoriles</w:t>
      </w:r>
      <w:r w:rsidRPr="00F072E2">
        <w:rPr>
          <w:rFonts w:asciiTheme="minorHAnsi" w:hAnsiTheme="minorHAnsi" w:cstheme="minorHAnsi"/>
          <w:sz w:val="22"/>
          <w:szCs w:val="22"/>
        </w:rPr>
        <w:t>, agroforestería y prácticas de captura de carbono en suelos, estructurado para acceso a pagos por resultados internacionales, bonos temáticos de agricultura sostenible y cooperación bilateral EU.</w:t>
      </w:r>
    </w:p>
    <w:p w14:paraId="49FB7F11" w14:textId="77777777" w:rsidR="00DA10D6" w:rsidRPr="00F072E2" w:rsidRDefault="00DA10D6" w:rsidP="00F072E2">
      <w:pPr>
        <w:spacing w:before="40" w:after="60"/>
        <w:jc w:val="both"/>
        <w:rPr>
          <w:rFonts w:asciiTheme="minorHAnsi" w:hAnsiTheme="minorHAnsi" w:cstheme="minorHAnsi"/>
          <w:sz w:val="22"/>
          <w:szCs w:val="22"/>
        </w:rPr>
      </w:pPr>
    </w:p>
    <w:p w14:paraId="50468EDC" w14:textId="32542F9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Cada producto incluirá: estructura de capital con estimación de volúmenes y fuentes de financiamiento; mecanismo de </w:t>
      </w:r>
      <w:proofErr w:type="spellStart"/>
      <w:r w:rsidRPr="00F072E2">
        <w:rPr>
          <w:rFonts w:asciiTheme="minorHAnsi" w:hAnsiTheme="minorHAnsi" w:cstheme="minorHAnsi"/>
          <w:i/>
          <w:lang w:val="es-CO"/>
        </w:rPr>
        <w:t>layering</w:t>
      </w:r>
      <w:proofErr w:type="spellEnd"/>
      <w:r w:rsidRPr="00F072E2">
        <w:rPr>
          <w:rFonts w:asciiTheme="minorHAnsi" w:hAnsiTheme="minorHAnsi" w:cstheme="minorHAnsi"/>
          <w:i/>
          <w:lang w:val="es-CO"/>
        </w:rPr>
        <w:t xml:space="preserve"> </w:t>
      </w:r>
      <w:r w:rsidRPr="00F072E2">
        <w:rPr>
          <w:rFonts w:asciiTheme="minorHAnsi" w:hAnsiTheme="minorHAnsi" w:cstheme="minorHAnsi"/>
          <w:lang w:val="es-CO"/>
        </w:rPr>
        <w:t xml:space="preserve">para combinar fondos públicos, multilaterales y privados; flujo de fondos desde el financiador hasta el beneficiario; mecanismo de condicionalidad y verificación; y plan de distribución de </w:t>
      </w:r>
      <w:proofErr w:type="spellStart"/>
      <w:r w:rsidRPr="00F072E2">
        <w:rPr>
          <w:rFonts w:asciiTheme="minorHAnsi" w:hAnsiTheme="minorHAnsi" w:cstheme="minorHAnsi"/>
          <w:lang w:val="es-CO"/>
        </w:rPr>
        <w:t>co-beneficios</w:t>
      </w:r>
      <w:proofErr w:type="spellEnd"/>
      <w:r w:rsidRPr="00F072E2">
        <w:rPr>
          <w:rFonts w:asciiTheme="minorHAnsi" w:hAnsiTheme="minorHAnsi" w:cstheme="minorHAnsi"/>
          <w:lang w:val="es-CO"/>
        </w:rPr>
        <w:t>.</w:t>
      </w:r>
    </w:p>
    <w:p w14:paraId="3DE3660A"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Definición de la arquitectura financiera de portafolio: análisis de opciones de vehículo financiero (fondo fiduciario patrimonial, fondo de inversión ambiental, plataforma de resultados verificados), mecanismo de </w:t>
      </w:r>
      <w:proofErr w:type="spellStart"/>
      <w:r w:rsidRPr="00F072E2">
        <w:rPr>
          <w:rFonts w:asciiTheme="minorHAnsi" w:hAnsiTheme="minorHAnsi" w:cstheme="minorHAnsi"/>
          <w:i/>
          <w:lang w:val="es-CO"/>
        </w:rPr>
        <w:t>layering</w:t>
      </w:r>
      <w:proofErr w:type="spellEnd"/>
      <w:r w:rsidRPr="00F072E2">
        <w:rPr>
          <w:rFonts w:asciiTheme="minorHAnsi" w:hAnsiTheme="minorHAnsi" w:cstheme="minorHAnsi"/>
          <w:lang w:val="es-CO"/>
        </w:rPr>
        <w:t xml:space="preserve"> para combinar fuentes en el tiempo, estructura de gobernanza del portafolio y opciones de escalamiento hacia un Natural Capital Trust o mecanismo equivalente de largo plazo.</w:t>
      </w:r>
    </w:p>
    <w:p w14:paraId="2225787F" w14:textId="6DBA1E20"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Rutas de acceso detalladas por instrumento priorizado: para cada instrumento identificado en la Actividad 1, se documentarán los pasos requeridos, los roles institucionales, los requisitos normativos y fiduciarios específicos, las modalidades prácticas de implementación, el cronograma estimado, los hitos críticos de decisión, la gobernanza y los riesgos con sus medidas de mitigación.</w:t>
      </w:r>
    </w:p>
    <w:p w14:paraId="128C65C0"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Paquete de documentación para financiadores internacionales: narrativa de inversión (</w:t>
      </w:r>
      <w:proofErr w:type="spellStart"/>
      <w:r w:rsidRPr="00F072E2">
        <w:rPr>
          <w:rFonts w:asciiTheme="minorHAnsi" w:hAnsiTheme="minorHAnsi" w:cstheme="minorHAnsi"/>
          <w:i/>
          <w:lang w:val="es-CO"/>
        </w:rPr>
        <w:t>investment</w:t>
      </w:r>
      <w:proofErr w:type="spellEnd"/>
      <w:r w:rsidRPr="00F072E2">
        <w:rPr>
          <w:rFonts w:asciiTheme="minorHAnsi" w:hAnsiTheme="minorHAnsi" w:cstheme="minorHAnsi"/>
          <w:i/>
          <w:lang w:val="es-CO"/>
        </w:rPr>
        <w:t xml:space="preserve"> case</w:t>
      </w:r>
      <w:r w:rsidRPr="00F072E2">
        <w:rPr>
          <w:rFonts w:asciiTheme="minorHAnsi" w:hAnsiTheme="minorHAnsi" w:cstheme="minorHAnsi"/>
          <w:lang w:val="es-CO"/>
        </w:rPr>
        <w:t xml:space="preserve">) con estimaciones de retorno social y </w:t>
      </w:r>
      <w:proofErr w:type="spellStart"/>
      <w:r w:rsidRPr="00F072E2">
        <w:rPr>
          <w:rFonts w:asciiTheme="minorHAnsi" w:hAnsiTheme="minorHAnsi" w:cstheme="minorHAnsi"/>
          <w:lang w:val="es-CO"/>
        </w:rPr>
        <w:t>co-beneficios</w:t>
      </w:r>
      <w:proofErr w:type="spellEnd"/>
      <w:r w:rsidRPr="00F072E2">
        <w:rPr>
          <w:rFonts w:asciiTheme="minorHAnsi" w:hAnsiTheme="minorHAnsi" w:cstheme="minorHAnsi"/>
          <w:lang w:val="es-CO"/>
        </w:rPr>
        <w:t xml:space="preserve"> cuantificados; teoría de cambio verificable y trazable; esquema MRV propuesto con costeo; estructura de salvaguardas; análisis de riesgos fiduciarios; pipeline inicial de proyectos; y métricas de reporte alineadas con TCFD, TNFD y SDG </w:t>
      </w:r>
      <w:proofErr w:type="spellStart"/>
      <w:r w:rsidRPr="00F072E2">
        <w:rPr>
          <w:rFonts w:asciiTheme="minorHAnsi" w:hAnsiTheme="minorHAnsi" w:cstheme="minorHAnsi"/>
          <w:i/>
          <w:lang w:val="es-CO"/>
        </w:rPr>
        <w:t>Impact</w:t>
      </w:r>
      <w:proofErr w:type="spellEnd"/>
      <w:r w:rsidRPr="00F072E2">
        <w:rPr>
          <w:rFonts w:asciiTheme="minorHAnsi" w:hAnsiTheme="minorHAnsi" w:cstheme="minorHAnsi"/>
          <w:i/>
          <w:lang w:val="es-CO"/>
        </w:rPr>
        <w:t xml:space="preserve"> </w:t>
      </w:r>
      <w:proofErr w:type="spellStart"/>
      <w:r w:rsidRPr="00F072E2">
        <w:rPr>
          <w:rFonts w:asciiTheme="minorHAnsi" w:hAnsiTheme="minorHAnsi" w:cstheme="minorHAnsi"/>
          <w:i/>
          <w:lang w:val="es-CO"/>
        </w:rPr>
        <w:t>Standards</w:t>
      </w:r>
      <w:proofErr w:type="spellEnd"/>
      <w:r w:rsidRPr="00F072E2">
        <w:rPr>
          <w:rFonts w:asciiTheme="minorHAnsi" w:hAnsiTheme="minorHAnsi" w:cstheme="minorHAnsi"/>
          <w:lang w:val="es-CO"/>
        </w:rPr>
        <w:t>.</w:t>
      </w:r>
    </w:p>
    <w:p w14:paraId="2F282069" w14:textId="77777777" w:rsidR="00567CAF" w:rsidRPr="00F072E2" w:rsidRDefault="00D86CA1" w:rsidP="00F072E2">
      <w:pPr>
        <w:pStyle w:val="Prrafodelista"/>
        <w:numPr>
          <w:ilvl w:val="0"/>
          <w:numId w:val="2"/>
        </w:numPr>
        <w:spacing w:before="40" w:after="60"/>
        <w:jc w:val="both"/>
        <w:rPr>
          <w:rFonts w:asciiTheme="minorHAnsi" w:hAnsiTheme="minorHAnsi" w:cstheme="minorHAnsi"/>
        </w:rPr>
      </w:pPr>
      <w:r w:rsidRPr="00F072E2">
        <w:rPr>
          <w:rFonts w:asciiTheme="minorHAnsi" w:hAnsiTheme="minorHAnsi" w:cstheme="minorHAnsi"/>
          <w:lang w:val="es-CO"/>
        </w:rPr>
        <w:t xml:space="preserve">Proceso de concertación iterativa: talleres y sesiones técnicas con FONAFIFO, Ministerio de Hacienda, MINAE, sector financiero nacional, cooperación internacional y organizaciones de actores territoriales. El proceso incorporará un enfoque de gestión adaptativa para ajustar los </w:t>
      </w:r>
      <w:r w:rsidRPr="00F072E2">
        <w:rPr>
          <w:rFonts w:asciiTheme="minorHAnsi" w:hAnsiTheme="minorHAnsi" w:cstheme="minorHAnsi"/>
          <w:lang w:val="es-CO"/>
        </w:rPr>
        <w:lastRenderedPageBreak/>
        <w:t xml:space="preserve">diseños en función del </w:t>
      </w:r>
      <w:proofErr w:type="spellStart"/>
      <w:r w:rsidRPr="00F072E2">
        <w:rPr>
          <w:rFonts w:asciiTheme="minorHAnsi" w:hAnsiTheme="minorHAnsi" w:cstheme="minorHAnsi"/>
          <w:i/>
          <w:lang w:val="es-CO"/>
        </w:rPr>
        <w:t>feedback</w:t>
      </w:r>
      <w:proofErr w:type="spellEnd"/>
      <w:r w:rsidRPr="00F072E2">
        <w:rPr>
          <w:rFonts w:asciiTheme="minorHAnsi" w:hAnsiTheme="minorHAnsi" w:cstheme="minorHAnsi"/>
          <w:lang w:val="es-CO"/>
        </w:rPr>
        <w:t xml:space="preserve"> institucional y de los actores territoriales afectados. </w:t>
      </w:r>
      <w:proofErr w:type="spellStart"/>
      <w:r w:rsidRPr="00F072E2">
        <w:rPr>
          <w:rFonts w:asciiTheme="minorHAnsi" w:hAnsiTheme="minorHAnsi" w:cstheme="minorHAnsi"/>
        </w:rPr>
        <w:t>Incluir</w:t>
      </w:r>
      <w:proofErr w:type="spellEnd"/>
      <w:r w:rsidRPr="00F072E2">
        <w:rPr>
          <w:rFonts w:asciiTheme="minorHAnsi" w:hAnsiTheme="minorHAnsi" w:cstheme="minorHAnsi"/>
        </w:rPr>
        <w:t xml:space="preserve"> </w:t>
      </w:r>
      <w:proofErr w:type="spellStart"/>
      <w:r w:rsidRPr="00F072E2">
        <w:rPr>
          <w:rFonts w:asciiTheme="minorHAnsi" w:hAnsiTheme="minorHAnsi" w:cstheme="minorHAnsi"/>
        </w:rPr>
        <w:t>los</w:t>
      </w:r>
      <w:proofErr w:type="spellEnd"/>
      <w:r w:rsidRPr="00F072E2">
        <w:rPr>
          <w:rFonts w:asciiTheme="minorHAnsi" w:hAnsiTheme="minorHAnsi" w:cstheme="minorHAnsi"/>
        </w:rPr>
        <w:t xml:space="preserve"> </w:t>
      </w:r>
      <w:proofErr w:type="spellStart"/>
      <w:r w:rsidRPr="00F072E2">
        <w:rPr>
          <w:rFonts w:asciiTheme="minorHAnsi" w:hAnsiTheme="minorHAnsi" w:cstheme="minorHAnsi"/>
        </w:rPr>
        <w:t>recursos</w:t>
      </w:r>
      <w:proofErr w:type="spellEnd"/>
      <w:r w:rsidRPr="00F072E2">
        <w:rPr>
          <w:rFonts w:asciiTheme="minorHAnsi" w:hAnsiTheme="minorHAnsi" w:cstheme="minorHAnsi"/>
        </w:rPr>
        <w:t xml:space="preserve"> </w:t>
      </w:r>
      <w:proofErr w:type="spellStart"/>
      <w:r w:rsidRPr="00F072E2">
        <w:rPr>
          <w:rFonts w:asciiTheme="minorHAnsi" w:hAnsiTheme="minorHAnsi" w:cstheme="minorHAnsi"/>
        </w:rPr>
        <w:t>necesarios</w:t>
      </w:r>
      <w:proofErr w:type="spellEnd"/>
      <w:r w:rsidRPr="00F072E2">
        <w:rPr>
          <w:rFonts w:asciiTheme="minorHAnsi" w:hAnsiTheme="minorHAnsi" w:cstheme="minorHAnsi"/>
        </w:rPr>
        <w:t xml:space="preserve"> para las </w:t>
      </w:r>
      <w:proofErr w:type="spellStart"/>
      <w:r w:rsidRPr="00F072E2">
        <w:rPr>
          <w:rFonts w:asciiTheme="minorHAnsi" w:hAnsiTheme="minorHAnsi" w:cstheme="minorHAnsi"/>
        </w:rPr>
        <w:t>consultas</w:t>
      </w:r>
      <w:proofErr w:type="spellEnd"/>
      <w:r w:rsidRPr="00F072E2">
        <w:rPr>
          <w:rFonts w:asciiTheme="minorHAnsi" w:hAnsiTheme="minorHAnsi" w:cstheme="minorHAnsi"/>
        </w:rPr>
        <w:t xml:space="preserve"> y </w:t>
      </w:r>
      <w:proofErr w:type="spellStart"/>
      <w:r w:rsidRPr="00F072E2">
        <w:rPr>
          <w:rFonts w:asciiTheme="minorHAnsi" w:hAnsiTheme="minorHAnsi" w:cstheme="minorHAnsi"/>
        </w:rPr>
        <w:t>talleres</w:t>
      </w:r>
      <w:proofErr w:type="spellEnd"/>
      <w:r w:rsidRPr="00F072E2">
        <w:rPr>
          <w:rFonts w:asciiTheme="minorHAnsi" w:hAnsiTheme="minorHAnsi" w:cstheme="minorHAnsi"/>
        </w:rPr>
        <w:t>.</w:t>
      </w:r>
    </w:p>
    <w:p w14:paraId="317035AF" w14:textId="77777777" w:rsidR="00567CAF" w:rsidRPr="00F072E2" w:rsidRDefault="00567CAF" w:rsidP="00F072E2">
      <w:pPr>
        <w:spacing w:after="80"/>
        <w:jc w:val="both"/>
        <w:rPr>
          <w:rFonts w:asciiTheme="minorHAnsi" w:hAnsiTheme="minorHAnsi" w:cstheme="minorHAnsi"/>
          <w:sz w:val="22"/>
          <w:szCs w:val="22"/>
        </w:rPr>
      </w:pPr>
    </w:p>
    <w:p w14:paraId="38C856BD"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Los procesos de validación deberán dejar evidencia verificable (minutas, listas de asistencia, acuerdos técnicos y ajustes incorporados).</w:t>
      </w:r>
    </w:p>
    <w:p w14:paraId="78B4542B" w14:textId="77777777" w:rsidR="00567CAF" w:rsidRPr="00F072E2" w:rsidRDefault="00567CAF" w:rsidP="00F072E2">
      <w:pPr>
        <w:spacing w:after="80"/>
        <w:jc w:val="both"/>
        <w:rPr>
          <w:rFonts w:asciiTheme="minorHAnsi" w:hAnsiTheme="minorHAnsi" w:cstheme="minorHAnsi"/>
          <w:sz w:val="22"/>
          <w:szCs w:val="22"/>
        </w:rPr>
      </w:pPr>
    </w:p>
    <w:p w14:paraId="390DE8B6"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Entregables de la Actividad 2:</w:t>
      </w:r>
    </w:p>
    <w:p w14:paraId="65A567F4" w14:textId="7E16C63A"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Entregable 3. </w:t>
      </w:r>
      <w:r w:rsidRPr="00F072E2">
        <w:rPr>
          <w:rFonts w:asciiTheme="minorHAnsi" w:hAnsiTheme="minorHAnsi" w:cstheme="minorHAnsi"/>
          <w:sz w:val="22"/>
          <w:szCs w:val="22"/>
        </w:rPr>
        <w:t>Inventario y análisis comparado de</w:t>
      </w:r>
      <w:r w:rsidR="00317732">
        <w:rPr>
          <w:rFonts w:asciiTheme="minorHAnsi" w:hAnsiTheme="minorHAnsi" w:cstheme="minorHAnsi"/>
          <w:sz w:val="22"/>
          <w:szCs w:val="22"/>
        </w:rPr>
        <w:t xml:space="preserve"> </w:t>
      </w:r>
      <w:r w:rsidRPr="00F072E2">
        <w:rPr>
          <w:rFonts w:asciiTheme="minorHAnsi" w:hAnsiTheme="minorHAnsi" w:cstheme="minorHAnsi"/>
          <w:sz w:val="22"/>
          <w:szCs w:val="22"/>
        </w:rPr>
        <w:t>fuentes de financiamiento internacionales + criterios de eleg</w:t>
      </w:r>
      <w:r w:rsidR="00FB17EC">
        <w:rPr>
          <w:rFonts w:asciiTheme="minorHAnsi" w:hAnsiTheme="minorHAnsi" w:cstheme="minorHAnsi"/>
          <w:sz w:val="22"/>
          <w:szCs w:val="22"/>
        </w:rPr>
        <w:t>ibilidad y preselección (T0 + 70</w:t>
      </w:r>
      <w:r w:rsidRPr="00F072E2">
        <w:rPr>
          <w:rFonts w:asciiTheme="minorHAnsi" w:hAnsiTheme="minorHAnsi" w:cstheme="minorHAnsi"/>
          <w:sz w:val="22"/>
          <w:szCs w:val="22"/>
        </w:rPr>
        <w:t xml:space="preserve"> </w:t>
      </w:r>
      <w:proofErr w:type="spellStart"/>
      <w:r w:rsidRPr="00F072E2">
        <w:rPr>
          <w:rFonts w:asciiTheme="minorHAnsi" w:hAnsiTheme="minorHAnsi" w:cstheme="minorHAnsi"/>
          <w:sz w:val="22"/>
          <w:szCs w:val="22"/>
        </w:rPr>
        <w:t>dh</w:t>
      </w:r>
      <w:proofErr w:type="spellEnd"/>
      <w:r w:rsidRPr="00F072E2">
        <w:rPr>
          <w:rFonts w:asciiTheme="minorHAnsi" w:hAnsiTheme="minorHAnsi" w:cstheme="minorHAnsi"/>
          <w:sz w:val="22"/>
          <w:szCs w:val="22"/>
        </w:rPr>
        <w:t>);</w:t>
      </w:r>
    </w:p>
    <w:p w14:paraId="1B3E0D3D" w14:textId="570E05CF"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Entregable 4. </w:t>
      </w:r>
      <w:r w:rsidRPr="00F072E2">
        <w:rPr>
          <w:rFonts w:asciiTheme="minorHAnsi" w:hAnsiTheme="minorHAnsi" w:cstheme="minorHAnsi"/>
          <w:sz w:val="22"/>
          <w:szCs w:val="22"/>
        </w:rPr>
        <w:t>Priorización de instrumentos y propuesta de cartera priorizada (</w:t>
      </w:r>
      <w:r w:rsidR="00FB17EC">
        <w:rPr>
          <w:rFonts w:asciiTheme="minorHAnsi" w:hAnsiTheme="minorHAnsi" w:cstheme="minorHAnsi"/>
          <w:sz w:val="22"/>
          <w:szCs w:val="22"/>
        </w:rPr>
        <w:t>T0 + 90</w:t>
      </w:r>
      <w:r w:rsidRPr="00F072E2">
        <w:rPr>
          <w:rFonts w:asciiTheme="minorHAnsi" w:hAnsiTheme="minorHAnsi" w:cstheme="minorHAnsi"/>
          <w:sz w:val="22"/>
          <w:szCs w:val="22"/>
        </w:rPr>
        <w:t xml:space="preserve"> </w:t>
      </w:r>
      <w:proofErr w:type="spellStart"/>
      <w:r w:rsidRPr="00F072E2">
        <w:rPr>
          <w:rFonts w:asciiTheme="minorHAnsi" w:hAnsiTheme="minorHAnsi" w:cstheme="minorHAnsi"/>
          <w:sz w:val="22"/>
          <w:szCs w:val="22"/>
        </w:rPr>
        <w:t>dh</w:t>
      </w:r>
      <w:proofErr w:type="spellEnd"/>
      <w:r w:rsidRPr="00F072E2">
        <w:rPr>
          <w:rFonts w:asciiTheme="minorHAnsi" w:hAnsiTheme="minorHAnsi" w:cstheme="minorHAnsi"/>
          <w:sz w:val="22"/>
          <w:szCs w:val="22"/>
        </w:rPr>
        <w:t>);</w:t>
      </w:r>
    </w:p>
    <w:p w14:paraId="368EAB63" w14:textId="4D1B2A04"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Entregable 5. </w:t>
      </w:r>
      <w:r w:rsidRPr="00F072E2">
        <w:rPr>
          <w:rFonts w:asciiTheme="minorHAnsi" w:hAnsiTheme="minorHAnsi" w:cstheme="minorHAnsi"/>
          <w:sz w:val="22"/>
          <w:szCs w:val="22"/>
        </w:rPr>
        <w:t xml:space="preserve">Diseño conceptual y modelo operativo de instrumentos seleccionados: arquitectura, condiciones habilitantes, modalidades de implementación, gobernanza, trazabilidad, MRV utilizado </w:t>
      </w:r>
      <w:r w:rsidR="00FB17EC">
        <w:rPr>
          <w:rFonts w:asciiTheme="minorHAnsi" w:hAnsiTheme="minorHAnsi" w:cstheme="minorHAnsi"/>
          <w:sz w:val="22"/>
          <w:szCs w:val="22"/>
        </w:rPr>
        <w:t>por FONAFIFO y riesgos (T0 + 125</w:t>
      </w:r>
      <w:r w:rsidRPr="00F072E2">
        <w:rPr>
          <w:rFonts w:asciiTheme="minorHAnsi" w:hAnsiTheme="minorHAnsi" w:cstheme="minorHAnsi"/>
          <w:sz w:val="22"/>
          <w:szCs w:val="22"/>
        </w:rPr>
        <w:t xml:space="preserve"> </w:t>
      </w:r>
      <w:proofErr w:type="spellStart"/>
      <w:r w:rsidRPr="00F072E2">
        <w:rPr>
          <w:rFonts w:asciiTheme="minorHAnsi" w:hAnsiTheme="minorHAnsi" w:cstheme="minorHAnsi"/>
          <w:sz w:val="22"/>
          <w:szCs w:val="22"/>
        </w:rPr>
        <w:t>dh</w:t>
      </w:r>
      <w:proofErr w:type="spellEnd"/>
      <w:r w:rsidRPr="00F072E2">
        <w:rPr>
          <w:rFonts w:asciiTheme="minorHAnsi" w:hAnsiTheme="minorHAnsi" w:cstheme="minorHAnsi"/>
          <w:sz w:val="22"/>
          <w:szCs w:val="22"/>
        </w:rPr>
        <w:t>);</w:t>
      </w:r>
    </w:p>
    <w:p w14:paraId="1A51C0B8" w14:textId="5220779D"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Entregable 6. </w:t>
      </w:r>
      <w:r w:rsidRPr="00F072E2">
        <w:rPr>
          <w:rFonts w:asciiTheme="minorHAnsi" w:hAnsiTheme="minorHAnsi" w:cstheme="minorHAnsi"/>
          <w:sz w:val="22"/>
          <w:szCs w:val="22"/>
        </w:rPr>
        <w:t xml:space="preserve">Paquetes técnicos listos de presentación a entidades financieras para la operacionalización/alistamiento para implementación: </w:t>
      </w:r>
      <w:proofErr w:type="spellStart"/>
      <w:r w:rsidRPr="00F072E2">
        <w:rPr>
          <w:rFonts w:asciiTheme="minorHAnsi" w:hAnsiTheme="minorHAnsi" w:cstheme="minorHAnsi"/>
          <w:i/>
          <w:sz w:val="22"/>
          <w:szCs w:val="22"/>
        </w:rPr>
        <w:t>term</w:t>
      </w:r>
      <w:proofErr w:type="spellEnd"/>
      <w:r w:rsidRPr="00F072E2">
        <w:rPr>
          <w:rFonts w:asciiTheme="minorHAnsi" w:hAnsiTheme="minorHAnsi" w:cstheme="minorHAnsi"/>
          <w:i/>
          <w:sz w:val="22"/>
          <w:szCs w:val="22"/>
        </w:rPr>
        <w:t xml:space="preserve"> </w:t>
      </w:r>
      <w:proofErr w:type="spellStart"/>
      <w:r w:rsidRPr="00F072E2">
        <w:rPr>
          <w:rFonts w:asciiTheme="minorHAnsi" w:hAnsiTheme="minorHAnsi" w:cstheme="minorHAnsi"/>
          <w:i/>
          <w:sz w:val="22"/>
          <w:szCs w:val="22"/>
        </w:rPr>
        <w:t>sheets</w:t>
      </w:r>
      <w:proofErr w:type="spellEnd"/>
      <w:r w:rsidRPr="00F072E2">
        <w:rPr>
          <w:rFonts w:asciiTheme="minorHAnsi" w:hAnsiTheme="minorHAnsi" w:cstheme="minorHAnsi"/>
          <w:sz w:val="22"/>
          <w:szCs w:val="22"/>
        </w:rPr>
        <w:t>, requerimientos</w:t>
      </w:r>
      <w:r w:rsidR="00FB17EC">
        <w:rPr>
          <w:rFonts w:asciiTheme="minorHAnsi" w:hAnsiTheme="minorHAnsi" w:cstheme="minorHAnsi"/>
          <w:sz w:val="22"/>
          <w:szCs w:val="22"/>
        </w:rPr>
        <w:t>, costos y hoja de ruta (T0 + 14</w:t>
      </w:r>
      <w:r w:rsidRPr="00F072E2">
        <w:rPr>
          <w:rFonts w:asciiTheme="minorHAnsi" w:hAnsiTheme="minorHAnsi" w:cstheme="minorHAnsi"/>
          <w:sz w:val="22"/>
          <w:szCs w:val="22"/>
        </w:rPr>
        <w:t xml:space="preserve">0 </w:t>
      </w:r>
      <w:proofErr w:type="spellStart"/>
      <w:r w:rsidRPr="00F072E2">
        <w:rPr>
          <w:rFonts w:asciiTheme="minorHAnsi" w:hAnsiTheme="minorHAnsi" w:cstheme="minorHAnsi"/>
          <w:sz w:val="22"/>
          <w:szCs w:val="22"/>
        </w:rPr>
        <w:t>dh</w:t>
      </w:r>
      <w:proofErr w:type="spellEnd"/>
      <w:r w:rsidRPr="00F072E2">
        <w:rPr>
          <w:rFonts w:asciiTheme="minorHAnsi" w:hAnsiTheme="minorHAnsi" w:cstheme="minorHAnsi"/>
          <w:sz w:val="22"/>
          <w:szCs w:val="22"/>
        </w:rPr>
        <w:t>).</w:t>
      </w:r>
    </w:p>
    <w:p w14:paraId="4D5B1ED2" w14:textId="77777777" w:rsidR="00567CAF" w:rsidRPr="00F072E2" w:rsidRDefault="00567CAF" w:rsidP="00F072E2">
      <w:pPr>
        <w:spacing w:after="80"/>
        <w:jc w:val="both"/>
        <w:rPr>
          <w:rFonts w:asciiTheme="minorHAnsi" w:hAnsiTheme="minorHAnsi" w:cstheme="minorHAnsi"/>
          <w:sz w:val="22"/>
          <w:szCs w:val="22"/>
        </w:rPr>
      </w:pPr>
    </w:p>
    <w:p w14:paraId="3BBA3F2C" w14:textId="77777777" w:rsidR="00567CAF" w:rsidRPr="00F072E2" w:rsidRDefault="00D86CA1" w:rsidP="00F072E2">
      <w:pPr>
        <w:pStyle w:val="Ttulo2"/>
        <w:jc w:val="both"/>
        <w:rPr>
          <w:rFonts w:cstheme="minorHAnsi"/>
          <w:sz w:val="22"/>
          <w:szCs w:val="22"/>
        </w:rPr>
      </w:pPr>
      <w:r w:rsidRPr="00F072E2">
        <w:rPr>
          <w:rFonts w:cstheme="minorHAnsi"/>
          <w:sz w:val="22"/>
          <w:szCs w:val="22"/>
        </w:rPr>
        <w:t>5.4 Actividad 3 — Fortalecimiento de capacidades y acompañamiento para la operacionalización</w:t>
      </w:r>
    </w:p>
    <w:p w14:paraId="73164F80" w14:textId="79B3BE26"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xml:space="preserve">Objetivo: garantizar que FONAFIFO y las instituciones del ecosistema de coordinación adquieran las competencias necesarias para implementar, adecuar según necesidades, monitorear y escalar los instrumentos diseñados de manera autónoma. Las </w:t>
      </w:r>
      <w:proofErr w:type="spellStart"/>
      <w:r w:rsidRPr="00F072E2">
        <w:rPr>
          <w:rFonts w:asciiTheme="minorHAnsi" w:hAnsiTheme="minorHAnsi" w:cstheme="minorHAnsi"/>
          <w:sz w:val="22"/>
          <w:szCs w:val="22"/>
        </w:rPr>
        <w:t>experienciasindican</w:t>
      </w:r>
      <w:proofErr w:type="spellEnd"/>
      <w:r w:rsidRPr="00F072E2">
        <w:rPr>
          <w:rFonts w:asciiTheme="minorHAnsi" w:hAnsiTheme="minorHAnsi" w:cstheme="minorHAnsi"/>
          <w:sz w:val="22"/>
          <w:szCs w:val="22"/>
        </w:rPr>
        <w:t xml:space="preserve"> que la apropiación, la institucionalización y el fortalecimiento de capacidades — más que la entrega de planes o documentos — es el principal predictor de la sostenibilidad de largo plazo de los esquemas PSA</w:t>
      </w:r>
      <w:r w:rsidR="006E7966" w:rsidRPr="00F072E2">
        <w:rPr>
          <w:rFonts w:asciiTheme="minorHAnsi" w:hAnsiTheme="minorHAnsi" w:cstheme="minorHAnsi"/>
          <w:sz w:val="22"/>
          <w:szCs w:val="22"/>
        </w:rPr>
        <w:t>.</w:t>
      </w:r>
      <w:r w:rsidRPr="00F072E2">
        <w:rPr>
          <w:rFonts w:asciiTheme="minorHAnsi" w:hAnsiTheme="minorHAnsi" w:cstheme="minorHAnsi"/>
          <w:sz w:val="22"/>
          <w:szCs w:val="22"/>
        </w:rPr>
        <w:t xml:space="preserve"> Se privilegiarán las propuestas que incluyan planes de </w:t>
      </w:r>
      <w:proofErr w:type="spellStart"/>
      <w:r w:rsidRPr="00F072E2">
        <w:rPr>
          <w:rFonts w:asciiTheme="minorHAnsi" w:hAnsiTheme="minorHAnsi" w:cstheme="minorHAnsi"/>
          <w:sz w:val="22"/>
          <w:szCs w:val="22"/>
        </w:rPr>
        <w:t>co-diseño</w:t>
      </w:r>
      <w:proofErr w:type="spellEnd"/>
      <w:r w:rsidRPr="00F072E2">
        <w:rPr>
          <w:rFonts w:asciiTheme="minorHAnsi" w:hAnsiTheme="minorHAnsi" w:cstheme="minorHAnsi"/>
          <w:sz w:val="22"/>
          <w:szCs w:val="22"/>
        </w:rPr>
        <w:t xml:space="preserve"> desde la primera actividad.</w:t>
      </w:r>
    </w:p>
    <w:p w14:paraId="39F4DD82" w14:textId="77777777" w:rsidR="00567CAF" w:rsidRPr="00F072E2" w:rsidRDefault="00567CAF" w:rsidP="00F072E2">
      <w:pPr>
        <w:spacing w:after="80"/>
        <w:jc w:val="both"/>
        <w:rPr>
          <w:rFonts w:asciiTheme="minorHAnsi" w:hAnsiTheme="minorHAnsi" w:cstheme="minorHAnsi"/>
          <w:sz w:val="22"/>
          <w:szCs w:val="22"/>
        </w:rPr>
      </w:pPr>
    </w:p>
    <w:p w14:paraId="01E28F62"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Subactividades mínimas:</w:t>
      </w:r>
    </w:p>
    <w:p w14:paraId="6BA35D31" w14:textId="4200AD8E"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Diseño del plan interno de fortalecimiento de capacidades individuales y colectivas: definición del público meta por institución, análisis de brechas de competencias, pedagogía y metodología de enseñanza-aprendizaje, contenidos modulares, herramientas de evaluación del aprendizaje y mecanismos de seguimiento de la transferencia de conocimiento al trabajo. Los módulos cubrirán como mínimo: gestión fiduciaria y </w:t>
      </w:r>
      <w:proofErr w:type="spellStart"/>
      <w:r w:rsidRPr="00F072E2">
        <w:rPr>
          <w:rFonts w:asciiTheme="minorHAnsi" w:hAnsiTheme="minorHAnsi" w:cstheme="minorHAnsi"/>
          <w:i/>
          <w:lang w:val="es-CO"/>
        </w:rPr>
        <w:t>compliance</w:t>
      </w:r>
      <w:proofErr w:type="spellEnd"/>
      <w:r w:rsidRPr="00F072E2">
        <w:rPr>
          <w:rFonts w:asciiTheme="minorHAnsi" w:hAnsiTheme="minorHAnsi" w:cstheme="minorHAnsi"/>
          <w:lang w:val="es-CO"/>
        </w:rPr>
        <w:t xml:space="preserve"> (cumplimiento) multilateral y europeo, negociación con financiadores internacionales, diseño y operación de sistemas MRV, salvaguardas ambientales y sociales. El plan de fortalecimiento deberá considerar también la dimensión institucional (organización del trabajo, repartición entre los equipos, marco reglamentario) para la incorporación eficaz y operativa de los elementos de capacitación desarrollado.</w:t>
      </w:r>
    </w:p>
    <w:p w14:paraId="753B22A7" w14:textId="60BB1FB4"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Ejecución de al menos seis sesiones formativas (talleres, asesorías técnicas o clínicas de trabajo): diseñadas para construir competencias prácticas internas individuales y colectivas, no sólo conocimientos teóricos. Cada sesión incluirá materiales reutilizables (</w:t>
      </w:r>
      <w:proofErr w:type="spellStart"/>
      <w:r w:rsidRPr="00F072E2">
        <w:rPr>
          <w:rFonts w:asciiTheme="minorHAnsi" w:hAnsiTheme="minorHAnsi" w:cstheme="minorHAnsi"/>
          <w:i/>
          <w:lang w:val="es-CO"/>
        </w:rPr>
        <w:t>factsheets</w:t>
      </w:r>
      <w:proofErr w:type="spellEnd"/>
      <w:r w:rsidRPr="00F072E2">
        <w:rPr>
          <w:rFonts w:asciiTheme="minorHAnsi" w:hAnsiTheme="minorHAnsi" w:cstheme="minorHAnsi"/>
          <w:lang w:val="es-CO"/>
        </w:rPr>
        <w:t>, presentaciones, guías operativas, plantillas) que queden en poder del FONAFIFO para su uso autónomo posterior. Incorporar los recursos para las sesiones y talleres de capacitación.</w:t>
      </w:r>
    </w:p>
    <w:p w14:paraId="78AD4931"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lastRenderedPageBreak/>
        <w:t>Apoyo al pipeline inicial: identificación, ordenamiento y análisis de oportunidades de financiamiento de corto plazo (0–6 meses desde T0) y de mediano plazo (6–18 meses), con preparación de una lista de próximos pasos listos para decisión institucional, incluyendo documentos, contactos y acciones concretas requeridas para avanzar en cada oportunidad priorizada.</w:t>
      </w:r>
    </w:p>
    <w:p w14:paraId="2ADDC5A1" w14:textId="77777777" w:rsidR="00567CAF" w:rsidRPr="00F072E2" w:rsidRDefault="00567CAF" w:rsidP="00F072E2">
      <w:pPr>
        <w:spacing w:after="80"/>
        <w:jc w:val="both"/>
        <w:rPr>
          <w:rFonts w:asciiTheme="minorHAnsi" w:hAnsiTheme="minorHAnsi" w:cstheme="minorHAnsi"/>
          <w:sz w:val="22"/>
          <w:szCs w:val="22"/>
        </w:rPr>
      </w:pPr>
    </w:p>
    <w:p w14:paraId="18F36976"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Entregables de la Actividad 3:</w:t>
      </w:r>
    </w:p>
    <w:p w14:paraId="4D21A1A4" w14:textId="0F65F31B"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Entregable 7. </w:t>
      </w:r>
      <w:r w:rsidRPr="00F072E2">
        <w:rPr>
          <w:rFonts w:asciiTheme="minorHAnsi" w:hAnsiTheme="minorHAnsi" w:cstheme="minorHAnsi"/>
          <w:sz w:val="22"/>
          <w:szCs w:val="22"/>
        </w:rPr>
        <w:t>Informe de validación con talleres, ajust</w:t>
      </w:r>
      <w:r w:rsidR="00FB17EC">
        <w:rPr>
          <w:rFonts w:asciiTheme="minorHAnsi" w:hAnsiTheme="minorHAnsi" w:cstheme="minorHAnsi"/>
          <w:sz w:val="22"/>
          <w:szCs w:val="22"/>
        </w:rPr>
        <w:t>es y acuerdos técnicos (T0 + 175</w:t>
      </w:r>
      <w:r w:rsidRPr="00F072E2">
        <w:rPr>
          <w:rFonts w:asciiTheme="minorHAnsi" w:hAnsiTheme="minorHAnsi" w:cstheme="minorHAnsi"/>
          <w:sz w:val="22"/>
          <w:szCs w:val="22"/>
        </w:rPr>
        <w:t xml:space="preserve"> </w:t>
      </w:r>
      <w:proofErr w:type="spellStart"/>
      <w:r w:rsidRPr="00F072E2">
        <w:rPr>
          <w:rFonts w:asciiTheme="minorHAnsi" w:hAnsiTheme="minorHAnsi" w:cstheme="minorHAnsi"/>
          <w:sz w:val="22"/>
          <w:szCs w:val="22"/>
        </w:rPr>
        <w:t>dh</w:t>
      </w:r>
      <w:proofErr w:type="spellEnd"/>
      <w:r w:rsidRPr="00F072E2">
        <w:rPr>
          <w:rFonts w:asciiTheme="minorHAnsi" w:hAnsiTheme="minorHAnsi" w:cstheme="minorHAnsi"/>
          <w:sz w:val="22"/>
          <w:szCs w:val="22"/>
        </w:rPr>
        <w:t>);</w:t>
      </w:r>
    </w:p>
    <w:p w14:paraId="1E42FF40" w14:textId="77777777" w:rsidR="00567CAF" w:rsidRPr="00F072E2" w:rsidRDefault="00567CAF" w:rsidP="00F072E2">
      <w:pPr>
        <w:spacing w:after="80"/>
        <w:jc w:val="both"/>
        <w:rPr>
          <w:rFonts w:asciiTheme="minorHAnsi" w:hAnsiTheme="minorHAnsi" w:cstheme="minorHAnsi"/>
          <w:sz w:val="22"/>
          <w:szCs w:val="22"/>
        </w:rPr>
      </w:pPr>
    </w:p>
    <w:p w14:paraId="0B46F898" w14:textId="7424DF09"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Entregable 8. </w:t>
      </w:r>
      <w:r w:rsidRPr="00F072E2">
        <w:rPr>
          <w:rFonts w:asciiTheme="minorHAnsi" w:hAnsiTheme="minorHAnsi" w:cstheme="minorHAnsi"/>
          <w:sz w:val="22"/>
          <w:szCs w:val="22"/>
        </w:rPr>
        <w:t>Plan de implementación y fortalecimiento de capacidades institucionales para la sostenibilidad autónoma del PSA 2.0, incluyendo TdR o plan de contratación si aplica (T0</w:t>
      </w:r>
      <w:r w:rsidR="00FB17EC">
        <w:rPr>
          <w:rFonts w:asciiTheme="minorHAnsi" w:hAnsiTheme="minorHAnsi" w:cstheme="minorHAnsi"/>
          <w:sz w:val="22"/>
          <w:szCs w:val="22"/>
        </w:rPr>
        <w:t xml:space="preserve"> + 195</w:t>
      </w:r>
      <w:r w:rsidRPr="00F072E2">
        <w:rPr>
          <w:rFonts w:asciiTheme="minorHAnsi" w:hAnsiTheme="minorHAnsi" w:cstheme="minorHAnsi"/>
          <w:sz w:val="22"/>
          <w:szCs w:val="22"/>
        </w:rPr>
        <w:t xml:space="preserve"> </w:t>
      </w:r>
      <w:proofErr w:type="spellStart"/>
      <w:r w:rsidRPr="00F072E2">
        <w:rPr>
          <w:rFonts w:asciiTheme="minorHAnsi" w:hAnsiTheme="minorHAnsi" w:cstheme="minorHAnsi"/>
          <w:sz w:val="22"/>
          <w:szCs w:val="22"/>
        </w:rPr>
        <w:t>dh</w:t>
      </w:r>
      <w:proofErr w:type="spellEnd"/>
      <w:r w:rsidRPr="00F072E2">
        <w:rPr>
          <w:rFonts w:asciiTheme="minorHAnsi" w:hAnsiTheme="minorHAnsi" w:cstheme="minorHAnsi"/>
          <w:sz w:val="22"/>
          <w:szCs w:val="22"/>
        </w:rPr>
        <w:t>).</w:t>
      </w:r>
    </w:p>
    <w:p w14:paraId="3CBB977E" w14:textId="77777777" w:rsidR="00567CAF" w:rsidRPr="00F072E2" w:rsidRDefault="00567CAF" w:rsidP="00F072E2">
      <w:pPr>
        <w:spacing w:after="80"/>
        <w:jc w:val="both"/>
        <w:rPr>
          <w:rFonts w:asciiTheme="minorHAnsi" w:hAnsiTheme="minorHAnsi" w:cstheme="minorHAnsi"/>
          <w:sz w:val="22"/>
          <w:szCs w:val="22"/>
        </w:rPr>
      </w:pPr>
    </w:p>
    <w:p w14:paraId="03AF8010"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El Entregable 8 deberá incluir como mínimo:</w:t>
      </w:r>
    </w:p>
    <w:p w14:paraId="7ED09DA1"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Plan de fortalecimiento institucional de FONAFIFO: </w:t>
      </w:r>
      <w:r w:rsidRPr="00F072E2">
        <w:rPr>
          <w:rFonts w:asciiTheme="minorHAnsi" w:hAnsiTheme="minorHAnsi" w:cstheme="minorHAnsi"/>
          <w:lang w:val="es-CO"/>
        </w:rPr>
        <w:t>módulos de formación en gestión fiduciaria multilateral y europea, negociación con financiadores internacionales (con énfasis en el marco del Global Gateway), MRV digital de bajo costo, salvaguardas ESG y reporte de impacto (TCFD/TNFD). Incluye cronograma, responsables institucionales y mecanismos de evaluación del aprendizaje.</w:t>
      </w:r>
    </w:p>
    <w:p w14:paraId="243C360E"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Hoja de ruta de sostenibilidad financiera del PSA 2.0: </w:t>
      </w:r>
      <w:r w:rsidRPr="00F072E2">
        <w:rPr>
          <w:rFonts w:asciiTheme="minorHAnsi" w:hAnsiTheme="minorHAnsi" w:cstheme="minorHAnsi"/>
          <w:lang w:val="es-CO"/>
        </w:rPr>
        <w:t>plan de acción de mediano plazo (18–36 meses) y largo plazo (3–10 años) para la operacionalización autónoma de los instrumentos diseñados, con hitos concretos, actores responsables, recursos requeridos y mecanismos de seguimiento. La hoja de ruta deberá mostrar cómo FONAFIFO transita hacia la gestión autónoma de los instrumentos sin dependencia de asistencia técnica externa continua.</w:t>
      </w:r>
    </w:p>
    <w:p w14:paraId="34F287A3"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Pipeline de oportunidades de financiamiento: </w:t>
      </w:r>
      <w:r w:rsidRPr="00F072E2">
        <w:rPr>
          <w:rFonts w:asciiTheme="minorHAnsi" w:hAnsiTheme="minorHAnsi" w:cstheme="minorHAnsi"/>
          <w:lang w:val="es-CO"/>
        </w:rPr>
        <w:t>listado priorizado de oportunidades de corto plazo (0–6 meses) y mediano plazo (6–18 meses), con documentos, contactos clave — incluyendo puntos focales del Global Gateway EU y delegaciones europeas relevantes — y acciones concretas para avanzar en cada oportunidad priorizada.</w:t>
      </w:r>
    </w:p>
    <w:p w14:paraId="574A35CE" w14:textId="6967EBDA"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Marco de coordinación interinstitucional: </w:t>
      </w:r>
      <w:r w:rsidRPr="00F072E2">
        <w:rPr>
          <w:rFonts w:asciiTheme="minorHAnsi" w:hAnsiTheme="minorHAnsi" w:cstheme="minorHAnsi"/>
          <w:lang w:val="es-CO"/>
        </w:rPr>
        <w:t>propuesta de arquitectura de gobernanza operativa para la coordinación entre FONAFIFO, MINAE y Ministerio de Hacienda, con roles, responsabilidades, incentivos y mecanismos de resolución de conflictos claramente definidos.</w:t>
      </w:r>
    </w:p>
    <w:p w14:paraId="54FF0583"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Plan de TdR o contratación para fases siguientes </w:t>
      </w:r>
      <w:r w:rsidRPr="00F072E2">
        <w:rPr>
          <w:rFonts w:asciiTheme="minorHAnsi" w:hAnsiTheme="minorHAnsi" w:cstheme="minorHAnsi"/>
          <w:lang w:val="es-CO"/>
        </w:rPr>
        <w:t>(si aplica): especificación técnica de los perfiles o servicios adicionales que FONAFIFO requerirá contratar de manera autónoma para continuar el proceso de implementación.</w:t>
      </w:r>
    </w:p>
    <w:p w14:paraId="56835F16" w14:textId="77777777" w:rsidR="00567CAF" w:rsidRPr="00F072E2" w:rsidRDefault="00567CAF" w:rsidP="00F072E2">
      <w:pPr>
        <w:spacing w:after="80"/>
        <w:jc w:val="both"/>
        <w:rPr>
          <w:rFonts w:asciiTheme="minorHAnsi" w:hAnsiTheme="minorHAnsi" w:cstheme="minorHAnsi"/>
          <w:sz w:val="22"/>
          <w:szCs w:val="22"/>
        </w:rPr>
      </w:pPr>
    </w:p>
    <w:p w14:paraId="08E3A96F" w14:textId="77777777" w:rsidR="00567CAF" w:rsidRPr="00F072E2" w:rsidRDefault="00D86CA1" w:rsidP="00F072E2">
      <w:pPr>
        <w:pStyle w:val="Ttulo2"/>
        <w:jc w:val="both"/>
        <w:rPr>
          <w:rFonts w:cstheme="minorHAnsi"/>
          <w:sz w:val="22"/>
          <w:szCs w:val="22"/>
        </w:rPr>
      </w:pPr>
      <w:r w:rsidRPr="00F072E2">
        <w:rPr>
          <w:rFonts w:cstheme="minorHAnsi"/>
          <w:sz w:val="22"/>
          <w:szCs w:val="22"/>
        </w:rPr>
        <w:t>5.5 Fase de capitalización y cierre</w:t>
      </w:r>
    </w:p>
    <w:p w14:paraId="20E7C405"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Subactividades mínimas:</w:t>
      </w:r>
    </w:p>
    <w:p w14:paraId="7657AC3C"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Balance de ejecución y análisis de dinámica interinstitucional: identificación de factores facilitadores y obstáculos encontrados durante la consultoría, con lecciones explícitas para futuras intervenciones similares en Costa Rica o en la región.</w:t>
      </w:r>
    </w:p>
    <w:p w14:paraId="1C777163" w14:textId="493677DB"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Evaluación cualitativa de los instrumentos propuestos: análisis de pertinencia, limitaciones identificadas, impactos esperados y condiciones de éxito en su implementación para cada instrumento financiero diseñado.</w:t>
      </w:r>
    </w:p>
    <w:p w14:paraId="2D45928C"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lastRenderedPageBreak/>
        <w:t>Hoja de ruta de difusión, replicabilidad y escalamiento: plan de acción de 18 meses para la operacionalización/alistamiento para implementación de los instrumentos diseñados, identificando los próximos hitos, los actores responsables, los recursos requeridos y los mecanismos de seguimiento.</w:t>
      </w:r>
    </w:p>
    <w:p w14:paraId="6113C572" w14:textId="75068B41"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Recomendaciones para la sostenibilidad de los diferentes productos PSA 2.0 de FONAFIFO en el mediano y largo plazo y una hoja de ruta (incluir responsables institucionales, supuestos, hitos normativos y riesgos) que permita realizar los cambios y ajustes en el tiempo para mejorar la permanencia y resiliencia financiera.</w:t>
      </w:r>
    </w:p>
    <w:p w14:paraId="4E8A9648"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Reunión de cierre con FONAFIFO/MINAE y Expertise France, con presentación de los resultados de la consultoría ante los actores clave.</w:t>
      </w:r>
    </w:p>
    <w:p w14:paraId="35B42944" w14:textId="77777777" w:rsidR="00567CAF" w:rsidRPr="00F072E2" w:rsidRDefault="00567CAF" w:rsidP="00F072E2">
      <w:pPr>
        <w:spacing w:after="80"/>
        <w:jc w:val="both"/>
        <w:rPr>
          <w:rFonts w:asciiTheme="minorHAnsi" w:hAnsiTheme="minorHAnsi" w:cstheme="minorHAnsi"/>
          <w:sz w:val="22"/>
          <w:szCs w:val="22"/>
        </w:rPr>
      </w:pPr>
    </w:p>
    <w:p w14:paraId="5B9FD8C3"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Entregable 9:</w:t>
      </w:r>
      <w:r w:rsidRPr="00F072E2">
        <w:rPr>
          <w:rFonts w:asciiTheme="minorHAnsi" w:hAnsiTheme="minorHAnsi" w:cstheme="minorHAnsi"/>
          <w:sz w:val="22"/>
          <w:szCs w:val="22"/>
        </w:rPr>
        <w:t xml:space="preserve"> Informe final consolidado + evaluación de sostenibilidad + hoja de ruta de escalamiento + portafolio inicial de iniciativas elegibles + anexos operativos. Plazo: 15 días hábiles </w:t>
      </w:r>
      <w:proofErr w:type="spellStart"/>
      <w:r w:rsidRPr="00F072E2">
        <w:rPr>
          <w:rFonts w:asciiTheme="minorHAnsi" w:hAnsiTheme="minorHAnsi" w:cstheme="minorHAnsi"/>
          <w:sz w:val="22"/>
          <w:szCs w:val="22"/>
        </w:rPr>
        <w:t>post-cierre</w:t>
      </w:r>
      <w:proofErr w:type="spellEnd"/>
      <w:r w:rsidRPr="00F072E2">
        <w:rPr>
          <w:rFonts w:asciiTheme="minorHAnsi" w:hAnsiTheme="minorHAnsi" w:cstheme="minorHAnsi"/>
          <w:sz w:val="22"/>
          <w:szCs w:val="22"/>
        </w:rPr>
        <w:t>.</w:t>
      </w:r>
    </w:p>
    <w:p w14:paraId="1E4BA07C" w14:textId="77777777" w:rsidR="00567CAF" w:rsidRPr="00F072E2" w:rsidRDefault="00567CAF" w:rsidP="00F072E2">
      <w:pPr>
        <w:spacing w:after="80"/>
        <w:jc w:val="both"/>
        <w:rPr>
          <w:rFonts w:asciiTheme="minorHAnsi" w:hAnsiTheme="minorHAnsi" w:cstheme="minorHAnsi"/>
          <w:sz w:val="22"/>
          <w:szCs w:val="22"/>
        </w:rPr>
      </w:pPr>
    </w:p>
    <w:p w14:paraId="5658813F"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El Entregable 9 deberá incluir como mínimo:</w:t>
      </w:r>
    </w:p>
    <w:p w14:paraId="1C6343AD"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Informe final consolidado: </w:t>
      </w:r>
      <w:r w:rsidRPr="00F072E2">
        <w:rPr>
          <w:rFonts w:asciiTheme="minorHAnsi" w:hAnsiTheme="minorHAnsi" w:cstheme="minorHAnsi"/>
          <w:lang w:val="es-CO"/>
        </w:rPr>
        <w:t>síntesis ejecutiva de todos los productos entregados, hallazgos principales, instrumentos diseñados, capacidades fortalecidas y resultados alcanzados frente a los objetivos específicos.</w:t>
      </w:r>
    </w:p>
    <w:p w14:paraId="27280C01" w14:textId="7940BB5A"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Evaluación de la sostenibilidad del PSA 2.0: </w:t>
      </w:r>
      <w:r w:rsidRPr="00F072E2">
        <w:rPr>
          <w:rFonts w:asciiTheme="minorHAnsi" w:hAnsiTheme="minorHAnsi" w:cstheme="minorHAnsi"/>
          <w:lang w:val="es-CO"/>
        </w:rPr>
        <w:t xml:space="preserve">análisis prospectivo de la viabilidad operativa, financiera e institucional de los instrumentos diseñados en horizontes de 3, 5 y 10 años, incluyendo escenarios de diversificación de fuentes, riesgos de dependencia y condiciones de éxito para la autonomía en la implementación del PSA 2.0 </w:t>
      </w:r>
      <w:r w:rsidR="006E7966" w:rsidRPr="00F072E2">
        <w:rPr>
          <w:rFonts w:asciiTheme="minorHAnsi" w:hAnsiTheme="minorHAnsi" w:cstheme="minorHAnsi"/>
          <w:lang w:val="es-CO"/>
        </w:rPr>
        <w:t>por</w:t>
      </w:r>
      <w:r w:rsidRPr="00F072E2">
        <w:rPr>
          <w:rFonts w:asciiTheme="minorHAnsi" w:hAnsiTheme="minorHAnsi" w:cstheme="minorHAnsi"/>
          <w:lang w:val="es-CO"/>
        </w:rPr>
        <w:t xml:space="preserve"> FONAFIFO.</w:t>
      </w:r>
    </w:p>
    <w:p w14:paraId="46615921" w14:textId="592ECBB9"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Hoja de ruta de escalamiento y replicabilidad: </w:t>
      </w:r>
      <w:r w:rsidRPr="00F072E2">
        <w:rPr>
          <w:rFonts w:asciiTheme="minorHAnsi" w:hAnsiTheme="minorHAnsi" w:cstheme="minorHAnsi"/>
          <w:lang w:val="es-CO"/>
        </w:rPr>
        <w:t>plan de acción concreto para el escalamiento de los instrumentos diseñados, identificando los próximos hitos operativos, normativos, institucionales y financieros; actores responsables; supuestos críticos; y potencial de replicación en otros países de la región.</w:t>
      </w:r>
    </w:p>
    <w:p w14:paraId="1FA52DDE"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Portafolio inicial de iniciativas elegibles: </w:t>
      </w:r>
      <w:r w:rsidRPr="00F072E2">
        <w:rPr>
          <w:rFonts w:asciiTheme="minorHAnsi" w:hAnsiTheme="minorHAnsi" w:cstheme="minorHAnsi"/>
          <w:lang w:val="es-CO"/>
        </w:rPr>
        <w:t>cartera de proyectos o modalidades PSA listos para presentación ante financiadores internacionales, con fichas de elegibilidad alineadas con los criterios del Global Gateway EU, GCF, GEF y otros instrumentos priorizados.</w:t>
      </w:r>
    </w:p>
    <w:p w14:paraId="1EDD6030"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b/>
          <w:lang w:val="es-CO"/>
        </w:rPr>
        <w:t xml:space="preserve">Anexos operativos: </w:t>
      </w:r>
      <w:r w:rsidRPr="00F072E2">
        <w:rPr>
          <w:rFonts w:asciiTheme="minorHAnsi" w:hAnsiTheme="minorHAnsi" w:cstheme="minorHAnsi"/>
          <w:lang w:val="es-CO"/>
        </w:rPr>
        <w:t xml:space="preserve">plantillas, matrices, guías operativas, </w:t>
      </w:r>
      <w:proofErr w:type="spellStart"/>
      <w:r w:rsidRPr="00F072E2">
        <w:rPr>
          <w:rFonts w:asciiTheme="minorHAnsi" w:hAnsiTheme="minorHAnsi" w:cstheme="minorHAnsi"/>
          <w:i/>
          <w:lang w:val="es-CO"/>
        </w:rPr>
        <w:t>factsheets</w:t>
      </w:r>
      <w:proofErr w:type="spellEnd"/>
      <w:r w:rsidRPr="00F072E2">
        <w:rPr>
          <w:rFonts w:asciiTheme="minorHAnsi" w:hAnsiTheme="minorHAnsi" w:cstheme="minorHAnsi"/>
          <w:lang w:val="es-CO"/>
        </w:rPr>
        <w:t xml:space="preserve"> de instrumentos financieros y cualquier material reutilizable que quede en poder de FONAFIFO para uso autónomo posterior.</w:t>
      </w:r>
    </w:p>
    <w:p w14:paraId="2DBFD04E" w14:textId="77777777" w:rsidR="00567CAF" w:rsidRPr="00F072E2" w:rsidRDefault="00567CAF" w:rsidP="00F072E2">
      <w:pPr>
        <w:spacing w:after="80"/>
        <w:jc w:val="both"/>
        <w:rPr>
          <w:rFonts w:asciiTheme="minorHAnsi" w:hAnsiTheme="minorHAnsi" w:cstheme="minorHAnsi"/>
          <w:sz w:val="22"/>
          <w:szCs w:val="22"/>
        </w:rPr>
      </w:pPr>
    </w:p>
    <w:p w14:paraId="32A70306" w14:textId="77777777" w:rsidR="00567CAF" w:rsidRPr="00F072E2" w:rsidRDefault="00D86CA1" w:rsidP="00F072E2">
      <w:pPr>
        <w:pStyle w:val="Ttulo2"/>
        <w:jc w:val="both"/>
        <w:rPr>
          <w:rFonts w:cstheme="minorHAnsi"/>
          <w:sz w:val="22"/>
          <w:szCs w:val="22"/>
        </w:rPr>
      </w:pPr>
      <w:r w:rsidRPr="00F072E2">
        <w:rPr>
          <w:rFonts w:cstheme="minorHAnsi"/>
          <w:sz w:val="22"/>
          <w:szCs w:val="22"/>
        </w:rPr>
        <w:t>5.6 Enfoque de género e inclusión</w:t>
      </w:r>
    </w:p>
    <w:p w14:paraId="4C2BC9FB" w14:textId="381D73C2"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 oferente deberá garantizar que el diseño de los instrumentos financieros no reproduce ni amplifica desigualdades de género ni excluye a poblaciones indígenas, afrodescendientes y comunidades dependientes de los bosques (que son destinatarios clave del PSA forestal) o pesqueras artesanales (que son destinatarias clave del PSA marino-costero). Se establece como requisito mínimo la aplicación del principio de no hacer daño (</w:t>
      </w:r>
      <w:r w:rsidRPr="00F072E2">
        <w:rPr>
          <w:rFonts w:asciiTheme="minorHAnsi" w:hAnsiTheme="minorHAnsi" w:cstheme="minorHAnsi"/>
          <w:i/>
          <w:sz w:val="22"/>
          <w:szCs w:val="22"/>
        </w:rPr>
        <w:t xml:space="preserve">do no </w:t>
      </w:r>
      <w:proofErr w:type="spellStart"/>
      <w:r w:rsidRPr="00F072E2">
        <w:rPr>
          <w:rFonts w:asciiTheme="minorHAnsi" w:hAnsiTheme="minorHAnsi" w:cstheme="minorHAnsi"/>
          <w:i/>
          <w:sz w:val="22"/>
          <w:szCs w:val="22"/>
        </w:rPr>
        <w:t>harm</w:t>
      </w:r>
      <w:proofErr w:type="spellEnd"/>
      <w:r w:rsidRPr="00F072E2">
        <w:rPr>
          <w:rFonts w:asciiTheme="minorHAnsi" w:hAnsiTheme="minorHAnsi" w:cstheme="minorHAnsi"/>
          <w:sz w:val="22"/>
          <w:szCs w:val="22"/>
        </w:rPr>
        <w:t>), y se espera que la propuesta técnica describa metodologías concretas para la integración del enfoque de género e inclusión social en el plan de monitoreo (indicadores desagregados por sexo y edad, categorías sociales) y en los informes mensuales y finales.</w:t>
      </w:r>
    </w:p>
    <w:p w14:paraId="46F082FE" w14:textId="77777777" w:rsidR="00567CAF" w:rsidRPr="00F072E2" w:rsidRDefault="00567CAF" w:rsidP="00F072E2">
      <w:pPr>
        <w:spacing w:after="80"/>
        <w:jc w:val="both"/>
        <w:rPr>
          <w:rFonts w:asciiTheme="minorHAnsi" w:hAnsiTheme="minorHAnsi" w:cstheme="minorHAnsi"/>
          <w:sz w:val="22"/>
          <w:szCs w:val="22"/>
        </w:rPr>
      </w:pPr>
    </w:p>
    <w:p w14:paraId="391EF2CB" w14:textId="77777777" w:rsidR="00FB17EC" w:rsidRPr="00AE7BE1" w:rsidRDefault="00FB17EC" w:rsidP="00FB17EC">
      <w:pPr>
        <w:keepNext/>
        <w:keepLines/>
        <w:spacing w:before="240"/>
        <w:jc w:val="both"/>
        <w:outlineLvl w:val="0"/>
        <w:rPr>
          <w:rFonts w:eastAsiaTheme="majorEastAsia" w:cstheme="minorHAnsi"/>
          <w:color w:val="2E74B5" w:themeColor="accent1" w:themeShade="BF"/>
          <w:lang w:val="es-CR"/>
        </w:rPr>
      </w:pPr>
      <w:r>
        <w:rPr>
          <w:rFonts w:eastAsiaTheme="majorEastAsia" w:cstheme="minorHAnsi"/>
          <w:color w:val="2E74B5" w:themeColor="accent1" w:themeShade="BF"/>
          <w:lang w:val="es-CR"/>
        </w:rPr>
        <w:lastRenderedPageBreak/>
        <w:t>6. CALENDARIO DE EJECUCIÓN Y DE OPERACIONALIZACIÓN/ALISTAMIENTO PARA IMPLEMENTACIÓN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36"/>
        <w:gridCol w:w="554"/>
        <w:gridCol w:w="555"/>
        <w:gridCol w:w="555"/>
        <w:gridCol w:w="555"/>
        <w:gridCol w:w="555"/>
        <w:gridCol w:w="555"/>
        <w:gridCol w:w="555"/>
        <w:gridCol w:w="555"/>
        <w:gridCol w:w="555"/>
        <w:gridCol w:w="1296"/>
      </w:tblGrid>
      <w:tr w:rsidR="00FB17EC" w:rsidRPr="00AE7BE1" w14:paraId="10A9A737" w14:textId="77777777" w:rsidTr="00FB17EC">
        <w:tc>
          <w:tcPr>
            <w:tcW w:w="3500" w:type="dxa"/>
            <w:shd w:val="clear" w:color="auto" w:fill="2F5496" w:themeFill="accent5" w:themeFillShade="BF"/>
            <w:tcMar>
              <w:top w:w="80" w:type="dxa"/>
              <w:left w:w="120" w:type="dxa"/>
              <w:bottom w:w="80" w:type="dxa"/>
              <w:right w:w="120" w:type="dxa"/>
            </w:tcMar>
          </w:tcPr>
          <w:p w14:paraId="73551E59" w14:textId="77777777" w:rsidR="00FB17EC" w:rsidRPr="00AE7BE1" w:rsidRDefault="00FB17EC" w:rsidP="00FB17EC">
            <w:pPr>
              <w:jc w:val="both"/>
              <w:rPr>
                <w:rFonts w:cstheme="minorHAnsi"/>
                <w:color w:val="FFFFFF" w:themeColor="background1"/>
              </w:rPr>
            </w:pPr>
            <w:r>
              <w:rPr>
                <w:rFonts w:cstheme="minorHAnsi"/>
                <w:b/>
                <w:color w:val="FFFFFF" w:themeColor="background1"/>
              </w:rPr>
              <w:t>Actividad / Fase</w:t>
            </w:r>
          </w:p>
        </w:tc>
        <w:tc>
          <w:tcPr>
            <w:tcW w:w="800" w:type="dxa"/>
            <w:shd w:val="clear" w:color="auto" w:fill="2F5496" w:themeFill="accent5" w:themeFillShade="BF"/>
            <w:tcMar>
              <w:top w:w="80" w:type="dxa"/>
              <w:left w:w="120" w:type="dxa"/>
              <w:bottom w:w="80" w:type="dxa"/>
              <w:right w:w="120" w:type="dxa"/>
            </w:tcMar>
          </w:tcPr>
          <w:p w14:paraId="237A3CE9" w14:textId="77777777" w:rsidR="00FB17EC" w:rsidRPr="00AE7BE1" w:rsidRDefault="00FB17EC" w:rsidP="00FB17EC">
            <w:pPr>
              <w:jc w:val="both"/>
              <w:rPr>
                <w:rFonts w:cstheme="minorHAnsi"/>
                <w:color w:val="FFFFFF" w:themeColor="background1"/>
              </w:rPr>
            </w:pPr>
            <w:r>
              <w:rPr>
                <w:rFonts w:cstheme="minorHAnsi"/>
                <w:b/>
                <w:color w:val="FFFFFF" w:themeColor="background1"/>
              </w:rPr>
              <w:t>1</w:t>
            </w:r>
          </w:p>
        </w:tc>
        <w:tc>
          <w:tcPr>
            <w:tcW w:w="800" w:type="dxa"/>
            <w:shd w:val="clear" w:color="auto" w:fill="2F5496" w:themeFill="accent5" w:themeFillShade="BF"/>
            <w:tcMar>
              <w:top w:w="80" w:type="dxa"/>
              <w:left w:w="120" w:type="dxa"/>
              <w:bottom w:w="80" w:type="dxa"/>
              <w:right w:w="120" w:type="dxa"/>
            </w:tcMar>
          </w:tcPr>
          <w:p w14:paraId="237F84CC" w14:textId="77777777" w:rsidR="00FB17EC" w:rsidRPr="00AE7BE1" w:rsidRDefault="00FB17EC" w:rsidP="00FB17EC">
            <w:pPr>
              <w:jc w:val="both"/>
              <w:rPr>
                <w:rFonts w:cstheme="minorHAnsi"/>
                <w:color w:val="FFFFFF" w:themeColor="background1"/>
              </w:rPr>
            </w:pPr>
            <w:r>
              <w:rPr>
                <w:rFonts w:cstheme="minorHAnsi"/>
                <w:b/>
                <w:color w:val="FFFFFF" w:themeColor="background1"/>
              </w:rPr>
              <w:t>2</w:t>
            </w:r>
          </w:p>
        </w:tc>
        <w:tc>
          <w:tcPr>
            <w:tcW w:w="800" w:type="dxa"/>
            <w:shd w:val="clear" w:color="auto" w:fill="2F5496" w:themeFill="accent5" w:themeFillShade="BF"/>
            <w:tcMar>
              <w:top w:w="80" w:type="dxa"/>
              <w:left w:w="120" w:type="dxa"/>
              <w:bottom w:w="80" w:type="dxa"/>
              <w:right w:w="120" w:type="dxa"/>
            </w:tcMar>
          </w:tcPr>
          <w:p w14:paraId="6E164AE4" w14:textId="77777777" w:rsidR="00FB17EC" w:rsidRPr="00AE7BE1" w:rsidRDefault="00FB17EC" w:rsidP="00FB17EC">
            <w:pPr>
              <w:jc w:val="both"/>
              <w:rPr>
                <w:rFonts w:cstheme="minorHAnsi"/>
                <w:color w:val="FFFFFF" w:themeColor="background1"/>
              </w:rPr>
            </w:pPr>
            <w:r>
              <w:rPr>
                <w:rFonts w:cstheme="minorHAnsi"/>
                <w:b/>
                <w:color w:val="FFFFFF" w:themeColor="background1"/>
              </w:rPr>
              <w:t>3</w:t>
            </w:r>
          </w:p>
        </w:tc>
        <w:tc>
          <w:tcPr>
            <w:tcW w:w="800" w:type="dxa"/>
            <w:shd w:val="clear" w:color="auto" w:fill="2F5496" w:themeFill="accent5" w:themeFillShade="BF"/>
            <w:tcMar>
              <w:top w:w="80" w:type="dxa"/>
              <w:left w:w="120" w:type="dxa"/>
              <w:bottom w:w="80" w:type="dxa"/>
              <w:right w:w="120" w:type="dxa"/>
            </w:tcMar>
          </w:tcPr>
          <w:p w14:paraId="6844034A" w14:textId="77777777" w:rsidR="00FB17EC" w:rsidRPr="00AE7BE1" w:rsidRDefault="00FB17EC" w:rsidP="00FB17EC">
            <w:pPr>
              <w:jc w:val="both"/>
              <w:rPr>
                <w:rFonts w:cstheme="minorHAnsi"/>
                <w:color w:val="FFFFFF" w:themeColor="background1"/>
              </w:rPr>
            </w:pPr>
            <w:r>
              <w:rPr>
                <w:rFonts w:cstheme="minorHAnsi"/>
                <w:b/>
                <w:color w:val="FFFFFF" w:themeColor="background1"/>
              </w:rPr>
              <w:t>4</w:t>
            </w:r>
          </w:p>
        </w:tc>
        <w:tc>
          <w:tcPr>
            <w:tcW w:w="800" w:type="dxa"/>
            <w:shd w:val="clear" w:color="auto" w:fill="2F5496" w:themeFill="accent5" w:themeFillShade="BF"/>
            <w:tcMar>
              <w:top w:w="80" w:type="dxa"/>
              <w:left w:w="120" w:type="dxa"/>
              <w:bottom w:w="80" w:type="dxa"/>
              <w:right w:w="120" w:type="dxa"/>
            </w:tcMar>
          </w:tcPr>
          <w:p w14:paraId="143F0E78" w14:textId="77777777" w:rsidR="00FB17EC" w:rsidRPr="00AE7BE1" w:rsidRDefault="00FB17EC" w:rsidP="00FB17EC">
            <w:pPr>
              <w:jc w:val="both"/>
              <w:rPr>
                <w:rFonts w:cstheme="minorHAnsi"/>
                <w:color w:val="FFFFFF" w:themeColor="background1"/>
              </w:rPr>
            </w:pPr>
            <w:r>
              <w:rPr>
                <w:rFonts w:cstheme="minorHAnsi"/>
                <w:b/>
                <w:color w:val="FFFFFF" w:themeColor="background1"/>
              </w:rPr>
              <w:t>5</w:t>
            </w:r>
          </w:p>
        </w:tc>
        <w:tc>
          <w:tcPr>
            <w:tcW w:w="800" w:type="dxa"/>
            <w:shd w:val="clear" w:color="auto" w:fill="2F5496" w:themeFill="accent5" w:themeFillShade="BF"/>
            <w:tcMar>
              <w:top w:w="80" w:type="dxa"/>
              <w:left w:w="120" w:type="dxa"/>
              <w:bottom w:w="80" w:type="dxa"/>
              <w:right w:w="120" w:type="dxa"/>
            </w:tcMar>
          </w:tcPr>
          <w:p w14:paraId="521ACA3D" w14:textId="77777777" w:rsidR="00FB17EC" w:rsidRPr="00AE7BE1" w:rsidRDefault="00FB17EC" w:rsidP="00FB17EC">
            <w:pPr>
              <w:jc w:val="both"/>
              <w:rPr>
                <w:rFonts w:cstheme="minorHAnsi"/>
                <w:color w:val="FFFFFF" w:themeColor="background1"/>
              </w:rPr>
            </w:pPr>
            <w:r>
              <w:rPr>
                <w:rFonts w:cstheme="minorHAnsi"/>
                <w:b/>
                <w:color w:val="FFFFFF" w:themeColor="background1"/>
              </w:rPr>
              <w:t>6</w:t>
            </w:r>
          </w:p>
        </w:tc>
        <w:tc>
          <w:tcPr>
            <w:tcW w:w="800" w:type="dxa"/>
            <w:shd w:val="clear" w:color="auto" w:fill="2F5496" w:themeFill="accent5" w:themeFillShade="BF"/>
            <w:tcMar>
              <w:top w:w="80" w:type="dxa"/>
              <w:left w:w="120" w:type="dxa"/>
              <w:bottom w:w="80" w:type="dxa"/>
              <w:right w:w="120" w:type="dxa"/>
            </w:tcMar>
          </w:tcPr>
          <w:p w14:paraId="68CD6C49" w14:textId="77777777" w:rsidR="00FB17EC" w:rsidRPr="00AE7BE1" w:rsidRDefault="00FB17EC" w:rsidP="00FB17EC">
            <w:pPr>
              <w:jc w:val="both"/>
              <w:rPr>
                <w:rFonts w:cstheme="minorHAnsi"/>
                <w:color w:val="FFFFFF" w:themeColor="background1"/>
              </w:rPr>
            </w:pPr>
            <w:r>
              <w:rPr>
                <w:rFonts w:cstheme="minorHAnsi"/>
                <w:b/>
                <w:color w:val="FFFFFF" w:themeColor="background1"/>
              </w:rPr>
              <w:t>7</w:t>
            </w:r>
          </w:p>
        </w:tc>
        <w:tc>
          <w:tcPr>
            <w:tcW w:w="800" w:type="dxa"/>
            <w:shd w:val="clear" w:color="auto" w:fill="2F5496" w:themeFill="accent5" w:themeFillShade="BF"/>
            <w:tcMar>
              <w:top w:w="80" w:type="dxa"/>
              <w:left w:w="120" w:type="dxa"/>
              <w:bottom w:w="80" w:type="dxa"/>
              <w:right w:w="120" w:type="dxa"/>
            </w:tcMar>
          </w:tcPr>
          <w:p w14:paraId="2BC01C77" w14:textId="77777777" w:rsidR="00FB17EC" w:rsidRPr="00AE7BE1" w:rsidRDefault="00FB17EC" w:rsidP="00FB17EC">
            <w:pPr>
              <w:jc w:val="both"/>
              <w:rPr>
                <w:rFonts w:cstheme="minorHAnsi"/>
                <w:color w:val="FFFFFF" w:themeColor="background1"/>
              </w:rPr>
            </w:pPr>
            <w:r>
              <w:rPr>
                <w:rFonts w:cstheme="minorHAnsi"/>
                <w:b/>
                <w:color w:val="FFFFFF" w:themeColor="background1"/>
              </w:rPr>
              <w:t>8</w:t>
            </w:r>
          </w:p>
        </w:tc>
        <w:tc>
          <w:tcPr>
            <w:tcW w:w="800" w:type="dxa"/>
            <w:shd w:val="clear" w:color="auto" w:fill="2F5496" w:themeFill="accent5" w:themeFillShade="BF"/>
            <w:tcMar>
              <w:top w:w="80" w:type="dxa"/>
              <w:left w:w="120" w:type="dxa"/>
              <w:bottom w:w="80" w:type="dxa"/>
              <w:right w:w="120" w:type="dxa"/>
            </w:tcMar>
          </w:tcPr>
          <w:p w14:paraId="0410C2F2" w14:textId="77777777" w:rsidR="00FB17EC" w:rsidRPr="00AE7BE1" w:rsidRDefault="00FB17EC" w:rsidP="00FB17EC">
            <w:pPr>
              <w:jc w:val="both"/>
              <w:rPr>
                <w:rFonts w:cstheme="minorHAnsi"/>
                <w:color w:val="FFFFFF" w:themeColor="background1"/>
              </w:rPr>
            </w:pPr>
            <w:r>
              <w:rPr>
                <w:rFonts w:cstheme="minorHAnsi"/>
                <w:b/>
                <w:color w:val="FFFFFF" w:themeColor="background1"/>
              </w:rPr>
              <w:t>9</w:t>
            </w:r>
          </w:p>
        </w:tc>
        <w:tc>
          <w:tcPr>
            <w:tcW w:w="1326" w:type="dxa"/>
            <w:shd w:val="clear" w:color="auto" w:fill="2F5496" w:themeFill="accent5" w:themeFillShade="BF"/>
            <w:tcMar>
              <w:top w:w="80" w:type="dxa"/>
              <w:left w:w="120" w:type="dxa"/>
              <w:bottom w:w="80" w:type="dxa"/>
              <w:right w:w="120" w:type="dxa"/>
            </w:tcMar>
          </w:tcPr>
          <w:p w14:paraId="12137CDB" w14:textId="77777777" w:rsidR="00FB17EC" w:rsidRPr="00AE7BE1" w:rsidRDefault="00FB17EC" w:rsidP="00FB17EC">
            <w:pPr>
              <w:jc w:val="both"/>
              <w:rPr>
                <w:rFonts w:cstheme="minorHAnsi"/>
                <w:color w:val="FFFFFF" w:themeColor="background1"/>
              </w:rPr>
            </w:pPr>
            <w:r>
              <w:rPr>
                <w:rFonts w:cstheme="minorHAnsi"/>
                <w:b/>
                <w:color w:val="FFFFFF" w:themeColor="background1"/>
              </w:rPr>
              <w:t>Entregable</w:t>
            </w:r>
          </w:p>
        </w:tc>
      </w:tr>
      <w:tr w:rsidR="00FB17EC" w:rsidRPr="00AE7BE1" w14:paraId="373353EB" w14:textId="77777777" w:rsidTr="00FB17EC">
        <w:tc>
          <w:tcPr>
            <w:tcW w:w="3500" w:type="dxa"/>
            <w:tcMar>
              <w:top w:w="80" w:type="dxa"/>
              <w:left w:w="120" w:type="dxa"/>
              <w:bottom w:w="80" w:type="dxa"/>
              <w:right w:w="120" w:type="dxa"/>
            </w:tcMar>
          </w:tcPr>
          <w:p w14:paraId="5780B1A9" w14:textId="77777777" w:rsidR="00FB17EC" w:rsidRPr="00AE7BE1" w:rsidRDefault="00FB17EC" w:rsidP="00FB17EC">
            <w:pPr>
              <w:jc w:val="both"/>
              <w:rPr>
                <w:rFonts w:cstheme="minorHAnsi"/>
              </w:rPr>
            </w:pPr>
            <w:r>
              <w:rPr>
                <w:rFonts w:cstheme="minorHAnsi"/>
              </w:rPr>
              <w:t>1. Inicio, gobernanza y plan de trabajo</w:t>
            </w:r>
          </w:p>
        </w:tc>
        <w:tc>
          <w:tcPr>
            <w:tcW w:w="800" w:type="dxa"/>
            <w:tcMar>
              <w:top w:w="80" w:type="dxa"/>
              <w:left w:w="120" w:type="dxa"/>
              <w:bottom w:w="80" w:type="dxa"/>
              <w:right w:w="120" w:type="dxa"/>
            </w:tcMar>
          </w:tcPr>
          <w:p w14:paraId="7F2C8193"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6973D4CB"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BB75B45"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643532A4"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67E4AFD7"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B3ACB62"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999473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784EEACA"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06923C5A" w14:textId="77777777" w:rsidR="00FB17EC" w:rsidRPr="00AE7BE1" w:rsidRDefault="00FB17EC" w:rsidP="00FB17EC">
            <w:pPr>
              <w:jc w:val="both"/>
              <w:rPr>
                <w:rFonts w:cstheme="minorHAnsi"/>
              </w:rPr>
            </w:pPr>
          </w:p>
        </w:tc>
        <w:tc>
          <w:tcPr>
            <w:tcW w:w="1326" w:type="dxa"/>
            <w:tcMar>
              <w:top w:w="80" w:type="dxa"/>
              <w:left w:w="120" w:type="dxa"/>
              <w:bottom w:w="80" w:type="dxa"/>
              <w:right w:w="120" w:type="dxa"/>
            </w:tcMar>
          </w:tcPr>
          <w:p w14:paraId="3321EAA4" w14:textId="77777777" w:rsidR="00FB17EC" w:rsidRPr="00AE7BE1" w:rsidRDefault="00FB17EC" w:rsidP="00FB17EC">
            <w:pPr>
              <w:jc w:val="both"/>
              <w:rPr>
                <w:rFonts w:cstheme="minorHAnsi"/>
              </w:rPr>
            </w:pPr>
            <w:r>
              <w:rPr>
                <w:rFonts w:cstheme="minorHAnsi"/>
              </w:rPr>
              <w:t>E1</w:t>
            </w:r>
          </w:p>
        </w:tc>
      </w:tr>
      <w:tr w:rsidR="00FB17EC" w:rsidRPr="00AE7BE1" w14:paraId="0EC4A935" w14:textId="77777777" w:rsidTr="00FB17EC">
        <w:tc>
          <w:tcPr>
            <w:tcW w:w="3500" w:type="dxa"/>
            <w:tcMar>
              <w:top w:w="80" w:type="dxa"/>
              <w:left w:w="120" w:type="dxa"/>
              <w:bottom w:w="80" w:type="dxa"/>
              <w:right w:w="120" w:type="dxa"/>
            </w:tcMar>
          </w:tcPr>
          <w:p w14:paraId="47273D01" w14:textId="77777777" w:rsidR="00FB17EC" w:rsidRPr="00AE7BE1" w:rsidRDefault="00FB17EC" w:rsidP="00FB17EC">
            <w:pPr>
              <w:jc w:val="both"/>
              <w:rPr>
                <w:rFonts w:cstheme="minorHAnsi"/>
              </w:rPr>
            </w:pPr>
            <w:r>
              <w:rPr>
                <w:rFonts w:cstheme="minorHAnsi"/>
              </w:rPr>
              <w:t>2. Mapeo de oportunidades + matriz multicriterio de priorización</w:t>
            </w:r>
          </w:p>
        </w:tc>
        <w:tc>
          <w:tcPr>
            <w:tcW w:w="800" w:type="dxa"/>
            <w:tcMar>
              <w:top w:w="80" w:type="dxa"/>
              <w:left w:w="120" w:type="dxa"/>
              <w:bottom w:w="80" w:type="dxa"/>
              <w:right w:w="120" w:type="dxa"/>
            </w:tcMar>
          </w:tcPr>
          <w:p w14:paraId="475C3903"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8040647"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0D7191A3"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58ECC466"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0E376103"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7D916F67"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F6BAEEA"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71222172"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569F578" w14:textId="77777777" w:rsidR="00FB17EC" w:rsidRPr="00AE7BE1" w:rsidRDefault="00FB17EC" w:rsidP="00FB17EC">
            <w:pPr>
              <w:jc w:val="both"/>
              <w:rPr>
                <w:rFonts w:cstheme="minorHAnsi"/>
              </w:rPr>
            </w:pPr>
          </w:p>
        </w:tc>
        <w:tc>
          <w:tcPr>
            <w:tcW w:w="1326" w:type="dxa"/>
            <w:tcMar>
              <w:top w:w="80" w:type="dxa"/>
              <w:left w:w="120" w:type="dxa"/>
              <w:bottom w:w="80" w:type="dxa"/>
              <w:right w:w="120" w:type="dxa"/>
            </w:tcMar>
          </w:tcPr>
          <w:p w14:paraId="0CFADB88" w14:textId="77777777" w:rsidR="00FB17EC" w:rsidRPr="00AE7BE1" w:rsidRDefault="00FB17EC" w:rsidP="00FB17EC">
            <w:pPr>
              <w:jc w:val="both"/>
              <w:rPr>
                <w:rFonts w:cstheme="minorHAnsi"/>
              </w:rPr>
            </w:pPr>
            <w:r>
              <w:rPr>
                <w:rFonts w:cstheme="minorHAnsi"/>
              </w:rPr>
              <w:t>E2</w:t>
            </w:r>
          </w:p>
        </w:tc>
      </w:tr>
      <w:tr w:rsidR="00FB17EC" w:rsidRPr="00AE7BE1" w14:paraId="58F576FB" w14:textId="77777777" w:rsidTr="00FB17EC">
        <w:tc>
          <w:tcPr>
            <w:tcW w:w="3500" w:type="dxa"/>
            <w:tcMar>
              <w:top w:w="80" w:type="dxa"/>
              <w:left w:w="120" w:type="dxa"/>
              <w:bottom w:w="80" w:type="dxa"/>
              <w:right w:w="120" w:type="dxa"/>
            </w:tcMar>
          </w:tcPr>
          <w:p w14:paraId="299BFD98" w14:textId="77777777" w:rsidR="00FB17EC" w:rsidRPr="00AE7BE1" w:rsidRDefault="00FB17EC" w:rsidP="00FB17EC">
            <w:pPr>
              <w:jc w:val="both"/>
              <w:rPr>
                <w:rFonts w:cstheme="minorHAnsi"/>
              </w:rPr>
            </w:pPr>
            <w:r>
              <w:rPr>
                <w:rFonts w:cstheme="minorHAnsi"/>
              </w:rPr>
              <w:t>3. Análisis comparado de instrumentos + criterios</w:t>
            </w:r>
          </w:p>
        </w:tc>
        <w:tc>
          <w:tcPr>
            <w:tcW w:w="800" w:type="dxa"/>
            <w:tcMar>
              <w:top w:w="80" w:type="dxa"/>
              <w:left w:w="120" w:type="dxa"/>
              <w:bottom w:w="80" w:type="dxa"/>
              <w:right w:w="120" w:type="dxa"/>
            </w:tcMar>
          </w:tcPr>
          <w:p w14:paraId="605C718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557D3D69"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0A9C368"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4BBA3397"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4159F448"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2FD527D"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B524134"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5D9C3FC8"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E47B7F8" w14:textId="77777777" w:rsidR="00FB17EC" w:rsidRPr="00AE7BE1" w:rsidRDefault="00FB17EC" w:rsidP="00FB17EC">
            <w:pPr>
              <w:jc w:val="both"/>
              <w:rPr>
                <w:rFonts w:cstheme="minorHAnsi"/>
              </w:rPr>
            </w:pPr>
          </w:p>
        </w:tc>
        <w:tc>
          <w:tcPr>
            <w:tcW w:w="1326" w:type="dxa"/>
            <w:tcMar>
              <w:top w:w="80" w:type="dxa"/>
              <w:left w:w="120" w:type="dxa"/>
              <w:bottom w:w="80" w:type="dxa"/>
              <w:right w:w="120" w:type="dxa"/>
            </w:tcMar>
          </w:tcPr>
          <w:p w14:paraId="3069768B" w14:textId="77777777" w:rsidR="00FB17EC" w:rsidRPr="00AE7BE1" w:rsidRDefault="00FB17EC" w:rsidP="00FB17EC">
            <w:pPr>
              <w:jc w:val="both"/>
              <w:rPr>
                <w:rFonts w:cstheme="minorHAnsi"/>
              </w:rPr>
            </w:pPr>
            <w:r>
              <w:rPr>
                <w:rFonts w:cstheme="minorHAnsi"/>
              </w:rPr>
              <w:t>E3</w:t>
            </w:r>
          </w:p>
        </w:tc>
      </w:tr>
      <w:tr w:rsidR="00FB17EC" w:rsidRPr="00AE7BE1" w14:paraId="223AD644" w14:textId="77777777" w:rsidTr="00FB17EC">
        <w:tc>
          <w:tcPr>
            <w:tcW w:w="3500" w:type="dxa"/>
            <w:tcMar>
              <w:top w:w="80" w:type="dxa"/>
              <w:left w:w="120" w:type="dxa"/>
              <w:bottom w:w="80" w:type="dxa"/>
              <w:right w:w="120" w:type="dxa"/>
            </w:tcMar>
          </w:tcPr>
          <w:p w14:paraId="5BE255C5" w14:textId="77777777" w:rsidR="00FB17EC" w:rsidRPr="00AE7BE1" w:rsidRDefault="00FB17EC" w:rsidP="00FB17EC">
            <w:pPr>
              <w:jc w:val="both"/>
              <w:rPr>
                <w:rFonts w:cstheme="minorHAnsi"/>
              </w:rPr>
            </w:pPr>
            <w:r>
              <w:rPr>
                <w:rFonts w:cstheme="minorHAnsi"/>
              </w:rPr>
              <w:t>4. Priorización de instrumentos (cartera)</w:t>
            </w:r>
          </w:p>
        </w:tc>
        <w:tc>
          <w:tcPr>
            <w:tcW w:w="800" w:type="dxa"/>
            <w:tcMar>
              <w:top w:w="80" w:type="dxa"/>
              <w:left w:w="120" w:type="dxa"/>
              <w:bottom w:w="80" w:type="dxa"/>
              <w:right w:w="120" w:type="dxa"/>
            </w:tcMar>
          </w:tcPr>
          <w:p w14:paraId="15015790"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6F88DF7D"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70F2B6B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A598C70"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486D7071"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297F6B08"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839CC6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7C64461D"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DE2C28B" w14:textId="77777777" w:rsidR="00FB17EC" w:rsidRPr="00AE7BE1" w:rsidRDefault="00FB17EC" w:rsidP="00FB17EC">
            <w:pPr>
              <w:jc w:val="both"/>
              <w:rPr>
                <w:rFonts w:cstheme="minorHAnsi"/>
              </w:rPr>
            </w:pPr>
          </w:p>
        </w:tc>
        <w:tc>
          <w:tcPr>
            <w:tcW w:w="1326" w:type="dxa"/>
            <w:tcMar>
              <w:top w:w="80" w:type="dxa"/>
              <w:left w:w="120" w:type="dxa"/>
              <w:bottom w:w="80" w:type="dxa"/>
              <w:right w:w="120" w:type="dxa"/>
            </w:tcMar>
          </w:tcPr>
          <w:p w14:paraId="6F4E19A6" w14:textId="77777777" w:rsidR="00FB17EC" w:rsidRPr="00AE7BE1" w:rsidRDefault="00FB17EC" w:rsidP="00FB17EC">
            <w:pPr>
              <w:jc w:val="both"/>
              <w:rPr>
                <w:rFonts w:cstheme="minorHAnsi"/>
              </w:rPr>
            </w:pPr>
            <w:r>
              <w:rPr>
                <w:rFonts w:cstheme="minorHAnsi"/>
              </w:rPr>
              <w:t>E4</w:t>
            </w:r>
          </w:p>
        </w:tc>
      </w:tr>
      <w:tr w:rsidR="00FB17EC" w:rsidRPr="00AE7BE1" w14:paraId="4B5A83DF" w14:textId="77777777" w:rsidTr="00FB17EC">
        <w:tc>
          <w:tcPr>
            <w:tcW w:w="3500" w:type="dxa"/>
            <w:tcMar>
              <w:top w:w="80" w:type="dxa"/>
              <w:left w:w="120" w:type="dxa"/>
              <w:bottom w:w="80" w:type="dxa"/>
              <w:right w:w="120" w:type="dxa"/>
            </w:tcMar>
          </w:tcPr>
          <w:p w14:paraId="463AA3FA" w14:textId="77777777" w:rsidR="00FB17EC" w:rsidRPr="00AE7BE1" w:rsidRDefault="00FB17EC" w:rsidP="00FB17EC">
            <w:pPr>
              <w:jc w:val="both"/>
              <w:rPr>
                <w:rFonts w:cstheme="minorHAnsi"/>
              </w:rPr>
            </w:pPr>
            <w:r>
              <w:rPr>
                <w:rFonts w:cstheme="minorHAnsi"/>
              </w:rPr>
              <w:t>5. Diseño técnico de instrumentos seleccionados</w:t>
            </w:r>
          </w:p>
        </w:tc>
        <w:tc>
          <w:tcPr>
            <w:tcW w:w="800" w:type="dxa"/>
            <w:tcMar>
              <w:top w:w="80" w:type="dxa"/>
              <w:left w:w="120" w:type="dxa"/>
              <w:bottom w:w="80" w:type="dxa"/>
              <w:right w:w="120" w:type="dxa"/>
            </w:tcMar>
          </w:tcPr>
          <w:p w14:paraId="52B18D47"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0085C65F"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717DB5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5947691C"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39832D9"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0E37E8F"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527AF19D"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519400A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5EAFB96" w14:textId="77777777" w:rsidR="00FB17EC" w:rsidRPr="00AE7BE1" w:rsidRDefault="00FB17EC" w:rsidP="00FB17EC">
            <w:pPr>
              <w:jc w:val="both"/>
              <w:rPr>
                <w:rFonts w:cstheme="minorHAnsi"/>
              </w:rPr>
            </w:pPr>
          </w:p>
        </w:tc>
        <w:tc>
          <w:tcPr>
            <w:tcW w:w="1326" w:type="dxa"/>
            <w:tcMar>
              <w:top w:w="80" w:type="dxa"/>
              <w:left w:w="120" w:type="dxa"/>
              <w:bottom w:w="80" w:type="dxa"/>
              <w:right w:w="120" w:type="dxa"/>
            </w:tcMar>
          </w:tcPr>
          <w:p w14:paraId="12C2844F" w14:textId="77777777" w:rsidR="00FB17EC" w:rsidRPr="00AE7BE1" w:rsidRDefault="00FB17EC" w:rsidP="00FB17EC">
            <w:pPr>
              <w:jc w:val="both"/>
              <w:rPr>
                <w:rFonts w:cstheme="minorHAnsi"/>
              </w:rPr>
            </w:pPr>
            <w:r>
              <w:rPr>
                <w:rFonts w:cstheme="minorHAnsi"/>
              </w:rPr>
              <w:t>E5</w:t>
            </w:r>
          </w:p>
        </w:tc>
      </w:tr>
      <w:tr w:rsidR="00FB17EC" w:rsidRPr="00AE7BE1" w14:paraId="4D43C110" w14:textId="77777777" w:rsidTr="00FB17EC">
        <w:tc>
          <w:tcPr>
            <w:tcW w:w="3500" w:type="dxa"/>
            <w:tcMar>
              <w:top w:w="80" w:type="dxa"/>
              <w:left w:w="120" w:type="dxa"/>
              <w:bottom w:w="80" w:type="dxa"/>
              <w:right w:w="120" w:type="dxa"/>
            </w:tcMar>
          </w:tcPr>
          <w:p w14:paraId="6A81CC30" w14:textId="77777777" w:rsidR="00FB17EC" w:rsidRPr="00AE7BE1" w:rsidRDefault="00FB17EC" w:rsidP="00FB17EC">
            <w:pPr>
              <w:jc w:val="both"/>
              <w:rPr>
                <w:rFonts w:cstheme="minorHAnsi"/>
              </w:rPr>
            </w:pPr>
            <w:r>
              <w:rPr>
                <w:rFonts w:cstheme="minorHAnsi"/>
              </w:rPr>
              <w:t>6. Paquetes de operacionalización (</w:t>
            </w:r>
            <w:proofErr w:type="spellStart"/>
            <w:r>
              <w:rPr>
                <w:rFonts w:cstheme="minorHAnsi"/>
                <w:i/>
              </w:rPr>
              <w:t>term</w:t>
            </w:r>
            <w:proofErr w:type="spellEnd"/>
            <w:r>
              <w:rPr>
                <w:rFonts w:cstheme="minorHAnsi"/>
                <w:i/>
              </w:rPr>
              <w:t xml:space="preserve"> </w:t>
            </w:r>
            <w:proofErr w:type="spellStart"/>
            <w:r>
              <w:rPr>
                <w:rFonts w:cstheme="minorHAnsi"/>
                <w:i/>
              </w:rPr>
              <w:t>sheets</w:t>
            </w:r>
            <w:proofErr w:type="spellEnd"/>
            <w:r>
              <w:rPr>
                <w:rFonts w:cstheme="minorHAnsi"/>
              </w:rPr>
              <w:t>/TdR/</w:t>
            </w:r>
            <w:proofErr w:type="spellStart"/>
            <w:r>
              <w:rPr>
                <w:rFonts w:cstheme="minorHAnsi"/>
                <w:i/>
              </w:rPr>
              <w:t>roadmap</w:t>
            </w:r>
            <w:proofErr w:type="spellEnd"/>
            <w:r>
              <w:rPr>
                <w:rFonts w:cstheme="minorHAnsi"/>
              </w:rPr>
              <w:t>)</w:t>
            </w:r>
          </w:p>
        </w:tc>
        <w:tc>
          <w:tcPr>
            <w:tcW w:w="800" w:type="dxa"/>
            <w:tcMar>
              <w:top w:w="80" w:type="dxa"/>
              <w:left w:w="120" w:type="dxa"/>
              <w:bottom w:w="80" w:type="dxa"/>
              <w:right w:w="120" w:type="dxa"/>
            </w:tcMar>
          </w:tcPr>
          <w:p w14:paraId="108346E6"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743A9E4"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9D95C7C"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2BDAD8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01B7F662"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0973C042"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8A34F5D"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6C2873C5"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66EE4B0B" w14:textId="77777777" w:rsidR="00FB17EC" w:rsidRPr="00AE7BE1" w:rsidRDefault="00FB17EC" w:rsidP="00FB17EC">
            <w:pPr>
              <w:jc w:val="both"/>
              <w:rPr>
                <w:rFonts w:cstheme="minorHAnsi"/>
              </w:rPr>
            </w:pPr>
          </w:p>
        </w:tc>
        <w:tc>
          <w:tcPr>
            <w:tcW w:w="1326" w:type="dxa"/>
            <w:tcMar>
              <w:top w:w="80" w:type="dxa"/>
              <w:left w:w="120" w:type="dxa"/>
              <w:bottom w:w="80" w:type="dxa"/>
              <w:right w:w="120" w:type="dxa"/>
            </w:tcMar>
          </w:tcPr>
          <w:p w14:paraId="5EC1D636" w14:textId="77777777" w:rsidR="00FB17EC" w:rsidRPr="00AE7BE1" w:rsidRDefault="00FB17EC" w:rsidP="00FB17EC">
            <w:pPr>
              <w:jc w:val="both"/>
              <w:rPr>
                <w:rFonts w:cstheme="minorHAnsi"/>
              </w:rPr>
            </w:pPr>
            <w:r>
              <w:rPr>
                <w:rFonts w:cstheme="minorHAnsi"/>
              </w:rPr>
              <w:t>E6</w:t>
            </w:r>
          </w:p>
        </w:tc>
      </w:tr>
      <w:tr w:rsidR="00FB17EC" w:rsidRPr="00AE7BE1" w14:paraId="4FA22BAC" w14:textId="77777777" w:rsidTr="00FB17EC">
        <w:tc>
          <w:tcPr>
            <w:tcW w:w="3500" w:type="dxa"/>
            <w:tcMar>
              <w:top w:w="80" w:type="dxa"/>
              <w:left w:w="120" w:type="dxa"/>
              <w:bottom w:w="80" w:type="dxa"/>
              <w:right w:w="120" w:type="dxa"/>
            </w:tcMar>
          </w:tcPr>
          <w:p w14:paraId="3B526EC9" w14:textId="77777777" w:rsidR="00FB17EC" w:rsidRPr="00AE7BE1" w:rsidRDefault="00FB17EC" w:rsidP="00FB17EC">
            <w:pPr>
              <w:jc w:val="both"/>
              <w:rPr>
                <w:rFonts w:cstheme="minorHAnsi"/>
              </w:rPr>
            </w:pPr>
            <w:r>
              <w:rPr>
                <w:rFonts w:cstheme="minorHAnsi"/>
              </w:rPr>
              <w:t>7. Validación con actores y ajustes</w:t>
            </w:r>
          </w:p>
        </w:tc>
        <w:tc>
          <w:tcPr>
            <w:tcW w:w="800" w:type="dxa"/>
            <w:tcMar>
              <w:top w:w="80" w:type="dxa"/>
              <w:left w:w="120" w:type="dxa"/>
              <w:bottom w:w="80" w:type="dxa"/>
              <w:right w:w="120" w:type="dxa"/>
            </w:tcMar>
          </w:tcPr>
          <w:p w14:paraId="6470E50B"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5A0FB089"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6F453EF"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0644BB57"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5D39EF9"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728669EE"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99AC77F"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1E42CAD" w14:textId="77777777" w:rsidR="00FB17EC" w:rsidRPr="00AE7BE1" w:rsidRDefault="00FB17EC" w:rsidP="00FB17EC">
            <w:pPr>
              <w:jc w:val="both"/>
              <w:rPr>
                <w:rFonts w:cstheme="minorHAnsi"/>
              </w:rPr>
            </w:pPr>
            <w:r>
              <w:rPr>
                <w:rFonts w:cstheme="minorHAnsi"/>
              </w:rPr>
              <w:t>X</w:t>
            </w:r>
          </w:p>
        </w:tc>
        <w:tc>
          <w:tcPr>
            <w:tcW w:w="800" w:type="dxa"/>
            <w:tcMar>
              <w:top w:w="80" w:type="dxa"/>
              <w:left w:w="120" w:type="dxa"/>
              <w:bottom w:w="80" w:type="dxa"/>
              <w:right w:w="120" w:type="dxa"/>
            </w:tcMar>
          </w:tcPr>
          <w:p w14:paraId="1992C503" w14:textId="77777777" w:rsidR="00FB17EC" w:rsidRPr="00AE7BE1" w:rsidRDefault="00FB17EC" w:rsidP="00FB17EC">
            <w:pPr>
              <w:jc w:val="both"/>
              <w:rPr>
                <w:rFonts w:cstheme="minorHAnsi"/>
              </w:rPr>
            </w:pPr>
            <w:r>
              <w:rPr>
                <w:rFonts w:cstheme="minorHAnsi"/>
              </w:rPr>
              <w:t>X</w:t>
            </w:r>
          </w:p>
        </w:tc>
        <w:tc>
          <w:tcPr>
            <w:tcW w:w="1326" w:type="dxa"/>
            <w:tcMar>
              <w:top w:w="80" w:type="dxa"/>
              <w:left w:w="120" w:type="dxa"/>
              <w:bottom w:w="80" w:type="dxa"/>
              <w:right w:w="120" w:type="dxa"/>
            </w:tcMar>
          </w:tcPr>
          <w:p w14:paraId="2E9CC79A" w14:textId="77777777" w:rsidR="00FB17EC" w:rsidRPr="00AE7BE1" w:rsidRDefault="00FB17EC" w:rsidP="00FB17EC">
            <w:pPr>
              <w:jc w:val="both"/>
              <w:rPr>
                <w:rFonts w:cstheme="minorHAnsi"/>
              </w:rPr>
            </w:pPr>
            <w:r>
              <w:rPr>
                <w:rFonts w:cstheme="minorHAnsi"/>
              </w:rPr>
              <w:t>E7</w:t>
            </w:r>
          </w:p>
        </w:tc>
      </w:tr>
      <w:tr w:rsidR="00FB17EC" w:rsidRPr="00AE7BE1" w14:paraId="6771F358" w14:textId="77777777" w:rsidTr="00FB17EC">
        <w:tc>
          <w:tcPr>
            <w:tcW w:w="3500" w:type="dxa"/>
            <w:tcMar>
              <w:top w:w="80" w:type="dxa"/>
              <w:left w:w="120" w:type="dxa"/>
              <w:bottom w:w="80" w:type="dxa"/>
              <w:right w:w="120" w:type="dxa"/>
            </w:tcMar>
          </w:tcPr>
          <w:p w14:paraId="1B723F53" w14:textId="77777777" w:rsidR="00FB17EC" w:rsidRPr="00AE7BE1" w:rsidRDefault="00FB17EC" w:rsidP="00FB17EC">
            <w:pPr>
              <w:jc w:val="both"/>
              <w:rPr>
                <w:rFonts w:cstheme="minorHAnsi"/>
              </w:rPr>
            </w:pPr>
            <w:r>
              <w:rPr>
                <w:rFonts w:cstheme="minorHAnsi"/>
              </w:rPr>
              <w:t>8. Plan de implementación y capacidades</w:t>
            </w:r>
          </w:p>
        </w:tc>
        <w:tc>
          <w:tcPr>
            <w:tcW w:w="800" w:type="dxa"/>
            <w:tcMar>
              <w:top w:w="80" w:type="dxa"/>
              <w:left w:w="120" w:type="dxa"/>
              <w:bottom w:w="80" w:type="dxa"/>
              <w:right w:w="120" w:type="dxa"/>
            </w:tcMar>
          </w:tcPr>
          <w:p w14:paraId="08F424D4"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9358C0B"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64A5039"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5BF46675"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A0B88D8"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78DA75A"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5059FC37"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72D9FA0"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C518835" w14:textId="77777777" w:rsidR="00FB17EC" w:rsidRPr="00AE7BE1" w:rsidRDefault="00FB17EC" w:rsidP="00FB17EC">
            <w:pPr>
              <w:jc w:val="both"/>
              <w:rPr>
                <w:rFonts w:cstheme="minorHAnsi"/>
              </w:rPr>
            </w:pPr>
            <w:r>
              <w:rPr>
                <w:rFonts w:cstheme="minorHAnsi"/>
              </w:rPr>
              <w:t>X</w:t>
            </w:r>
          </w:p>
        </w:tc>
        <w:tc>
          <w:tcPr>
            <w:tcW w:w="1326" w:type="dxa"/>
            <w:tcMar>
              <w:top w:w="80" w:type="dxa"/>
              <w:left w:w="120" w:type="dxa"/>
              <w:bottom w:w="80" w:type="dxa"/>
              <w:right w:w="120" w:type="dxa"/>
            </w:tcMar>
          </w:tcPr>
          <w:p w14:paraId="7EE30CE0" w14:textId="77777777" w:rsidR="00FB17EC" w:rsidRPr="00AE7BE1" w:rsidRDefault="00FB17EC" w:rsidP="00FB17EC">
            <w:pPr>
              <w:jc w:val="both"/>
              <w:rPr>
                <w:rFonts w:cstheme="minorHAnsi"/>
              </w:rPr>
            </w:pPr>
            <w:r>
              <w:rPr>
                <w:rFonts w:cstheme="minorHAnsi"/>
              </w:rPr>
              <w:t>E8</w:t>
            </w:r>
          </w:p>
        </w:tc>
      </w:tr>
      <w:tr w:rsidR="00FB17EC" w:rsidRPr="00AE7BE1" w14:paraId="4E759DB4" w14:textId="77777777" w:rsidTr="00FB17EC">
        <w:tc>
          <w:tcPr>
            <w:tcW w:w="3500" w:type="dxa"/>
            <w:tcMar>
              <w:top w:w="80" w:type="dxa"/>
              <w:left w:w="120" w:type="dxa"/>
              <w:bottom w:w="80" w:type="dxa"/>
              <w:right w:w="120" w:type="dxa"/>
            </w:tcMar>
          </w:tcPr>
          <w:p w14:paraId="19916E7B" w14:textId="77777777" w:rsidR="00FB17EC" w:rsidRPr="00AE7BE1" w:rsidRDefault="00FB17EC" w:rsidP="00FB17EC">
            <w:pPr>
              <w:jc w:val="both"/>
              <w:rPr>
                <w:rFonts w:cstheme="minorHAnsi"/>
              </w:rPr>
            </w:pPr>
            <w:r>
              <w:rPr>
                <w:rFonts w:cstheme="minorHAnsi"/>
              </w:rPr>
              <w:t>9. Cierre y entrega final</w:t>
            </w:r>
          </w:p>
        </w:tc>
        <w:tc>
          <w:tcPr>
            <w:tcW w:w="800" w:type="dxa"/>
            <w:tcMar>
              <w:top w:w="80" w:type="dxa"/>
              <w:left w:w="120" w:type="dxa"/>
              <w:bottom w:w="80" w:type="dxa"/>
              <w:right w:w="120" w:type="dxa"/>
            </w:tcMar>
          </w:tcPr>
          <w:p w14:paraId="7B4833A8"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BF29F1B"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45CE9803"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1AA96B0"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2863B17C"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39CA9D5"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7C2C044D"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3FADF974" w14:textId="77777777" w:rsidR="00FB17EC" w:rsidRPr="00AE7BE1" w:rsidRDefault="00FB17EC" w:rsidP="00FB17EC">
            <w:pPr>
              <w:jc w:val="both"/>
              <w:rPr>
                <w:rFonts w:cstheme="minorHAnsi"/>
              </w:rPr>
            </w:pPr>
          </w:p>
        </w:tc>
        <w:tc>
          <w:tcPr>
            <w:tcW w:w="800" w:type="dxa"/>
            <w:tcMar>
              <w:top w:w="80" w:type="dxa"/>
              <w:left w:w="120" w:type="dxa"/>
              <w:bottom w:w="80" w:type="dxa"/>
              <w:right w:w="120" w:type="dxa"/>
            </w:tcMar>
          </w:tcPr>
          <w:p w14:paraId="1047BE2C" w14:textId="77777777" w:rsidR="00FB17EC" w:rsidRPr="00AE7BE1" w:rsidRDefault="00FB17EC" w:rsidP="00FB17EC">
            <w:pPr>
              <w:jc w:val="both"/>
              <w:rPr>
                <w:rFonts w:cstheme="minorHAnsi"/>
              </w:rPr>
            </w:pPr>
            <w:r>
              <w:rPr>
                <w:rFonts w:cstheme="minorHAnsi"/>
              </w:rPr>
              <w:t>X</w:t>
            </w:r>
          </w:p>
        </w:tc>
        <w:tc>
          <w:tcPr>
            <w:tcW w:w="1326" w:type="dxa"/>
            <w:tcMar>
              <w:top w:w="80" w:type="dxa"/>
              <w:left w:w="120" w:type="dxa"/>
              <w:bottom w:w="80" w:type="dxa"/>
              <w:right w:w="120" w:type="dxa"/>
            </w:tcMar>
          </w:tcPr>
          <w:p w14:paraId="2B574818" w14:textId="77777777" w:rsidR="00FB17EC" w:rsidRPr="00AE7BE1" w:rsidRDefault="00FB17EC" w:rsidP="00FB17EC">
            <w:pPr>
              <w:jc w:val="both"/>
              <w:rPr>
                <w:rFonts w:cstheme="minorHAnsi"/>
              </w:rPr>
            </w:pPr>
            <w:r>
              <w:rPr>
                <w:rFonts w:cstheme="minorHAnsi"/>
              </w:rPr>
              <w:t>E9</w:t>
            </w:r>
          </w:p>
        </w:tc>
      </w:tr>
    </w:tbl>
    <w:p w14:paraId="112FEC31" w14:textId="77777777" w:rsidR="00FB17EC" w:rsidRPr="00AE7BE1" w:rsidRDefault="00FB17EC" w:rsidP="00FB17EC">
      <w:pPr>
        <w:spacing w:after="80"/>
        <w:jc w:val="both"/>
        <w:rPr>
          <w:rFonts w:cstheme="minorHAnsi"/>
        </w:rPr>
      </w:pPr>
    </w:p>
    <w:p w14:paraId="7684D98E" w14:textId="77777777" w:rsidR="00FB17EC" w:rsidRPr="00AE7BE1" w:rsidRDefault="00FB17EC" w:rsidP="00FB17EC">
      <w:pPr>
        <w:spacing w:before="80" w:after="100"/>
        <w:jc w:val="both"/>
        <w:rPr>
          <w:rFonts w:cstheme="minorHAnsi"/>
        </w:rPr>
      </w:pPr>
      <w:r>
        <w:rPr>
          <w:rFonts w:cstheme="minorHAnsi"/>
        </w:rPr>
        <w:t xml:space="preserve">Nota: Los meses se cuentan a partir de la fecha de inicio efectiva (T0) definida por Expertise France. El cronograma se expresa de Mes 1 a Mes 9. </w:t>
      </w:r>
      <w:proofErr w:type="spellStart"/>
      <w:r>
        <w:rPr>
          <w:rFonts w:cstheme="minorHAnsi"/>
        </w:rPr>
        <w:t>dh</w:t>
      </w:r>
      <w:proofErr w:type="spellEnd"/>
      <w:r>
        <w:rPr>
          <w:rFonts w:cstheme="minorHAnsi"/>
        </w:rPr>
        <w:t xml:space="preserve"> = días hábiles.</w:t>
      </w:r>
    </w:p>
    <w:p w14:paraId="619B20E8" w14:textId="77777777" w:rsidR="00FB17EC" w:rsidRPr="00AE7BE1" w:rsidRDefault="00FB17EC" w:rsidP="00FB17EC">
      <w:pPr>
        <w:spacing w:after="80"/>
        <w:jc w:val="both"/>
        <w:rPr>
          <w:rFonts w:cstheme="minorHAnsi"/>
        </w:rPr>
      </w:pPr>
    </w:p>
    <w:p w14:paraId="174A5C18" w14:textId="77777777" w:rsidR="00FB17EC" w:rsidRPr="00AE7BE1" w:rsidRDefault="00FB17EC" w:rsidP="00FB17EC">
      <w:pPr>
        <w:spacing w:before="80" w:after="100"/>
        <w:jc w:val="both"/>
        <w:rPr>
          <w:rFonts w:cstheme="minorHAnsi"/>
        </w:rPr>
      </w:pPr>
      <w:r>
        <w:rPr>
          <w:rFonts w:cstheme="minorHAnsi"/>
          <w:b/>
          <w:bCs/>
        </w:rPr>
        <w:t>Tabla de entregables y plazos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500"/>
        <w:gridCol w:w="4526"/>
        <w:gridCol w:w="2000"/>
      </w:tblGrid>
      <w:tr w:rsidR="00FB17EC" w:rsidRPr="00AE7BE1" w14:paraId="2A90C648" w14:textId="77777777" w:rsidTr="00FB17EC">
        <w:tc>
          <w:tcPr>
            <w:tcW w:w="2000" w:type="dxa"/>
            <w:shd w:val="clear" w:color="auto" w:fill="2F5496" w:themeFill="accent5" w:themeFillShade="BF"/>
            <w:tcMar>
              <w:top w:w="80" w:type="dxa"/>
              <w:left w:w="120" w:type="dxa"/>
              <w:bottom w:w="80" w:type="dxa"/>
              <w:right w:w="120" w:type="dxa"/>
            </w:tcMar>
          </w:tcPr>
          <w:p w14:paraId="1ABBC935" w14:textId="77777777" w:rsidR="00FB17EC" w:rsidRPr="00AE7BE1" w:rsidRDefault="00FB17EC" w:rsidP="00FB17EC">
            <w:pPr>
              <w:jc w:val="both"/>
              <w:rPr>
                <w:rFonts w:cstheme="minorHAnsi"/>
                <w:color w:val="FFFFFF" w:themeColor="background1"/>
              </w:rPr>
            </w:pPr>
            <w:r>
              <w:rPr>
                <w:rFonts w:cstheme="minorHAnsi"/>
                <w:b/>
                <w:color w:val="FFFFFF" w:themeColor="background1"/>
              </w:rPr>
              <w:t>Fase / Actividad</w:t>
            </w:r>
          </w:p>
        </w:tc>
        <w:tc>
          <w:tcPr>
            <w:tcW w:w="500" w:type="dxa"/>
            <w:shd w:val="clear" w:color="auto" w:fill="2F5496" w:themeFill="accent5" w:themeFillShade="BF"/>
            <w:tcMar>
              <w:top w:w="80" w:type="dxa"/>
              <w:left w:w="120" w:type="dxa"/>
              <w:bottom w:w="80" w:type="dxa"/>
              <w:right w:w="120" w:type="dxa"/>
            </w:tcMar>
          </w:tcPr>
          <w:p w14:paraId="3122AA7B" w14:textId="77777777" w:rsidR="00FB17EC" w:rsidRPr="00AE7BE1" w:rsidRDefault="00FB17EC" w:rsidP="00FB17EC">
            <w:pPr>
              <w:jc w:val="both"/>
              <w:rPr>
                <w:rFonts w:cstheme="minorHAnsi"/>
                <w:color w:val="FFFFFF" w:themeColor="background1"/>
              </w:rPr>
            </w:pPr>
            <w:proofErr w:type="spellStart"/>
            <w:r>
              <w:rPr>
                <w:rFonts w:cstheme="minorHAnsi"/>
                <w:b/>
                <w:color w:val="FFFFFF" w:themeColor="background1"/>
              </w:rPr>
              <w:t>N°</w:t>
            </w:r>
            <w:proofErr w:type="spellEnd"/>
          </w:p>
        </w:tc>
        <w:tc>
          <w:tcPr>
            <w:tcW w:w="4526" w:type="dxa"/>
            <w:shd w:val="clear" w:color="auto" w:fill="2F5496" w:themeFill="accent5" w:themeFillShade="BF"/>
            <w:tcMar>
              <w:top w:w="80" w:type="dxa"/>
              <w:left w:w="120" w:type="dxa"/>
              <w:bottom w:w="80" w:type="dxa"/>
              <w:right w:w="120" w:type="dxa"/>
            </w:tcMar>
          </w:tcPr>
          <w:p w14:paraId="19F2FB51" w14:textId="77777777" w:rsidR="00FB17EC" w:rsidRPr="00AE7BE1" w:rsidRDefault="00FB17EC" w:rsidP="00FB17EC">
            <w:pPr>
              <w:jc w:val="both"/>
              <w:rPr>
                <w:rFonts w:cstheme="minorHAnsi"/>
                <w:color w:val="FFFFFF" w:themeColor="background1"/>
              </w:rPr>
            </w:pPr>
            <w:r>
              <w:rPr>
                <w:rFonts w:cstheme="minorHAnsi"/>
                <w:b/>
                <w:color w:val="FFFFFF" w:themeColor="background1"/>
              </w:rPr>
              <w:t>Entregable</w:t>
            </w:r>
          </w:p>
        </w:tc>
        <w:tc>
          <w:tcPr>
            <w:tcW w:w="2000" w:type="dxa"/>
            <w:shd w:val="clear" w:color="auto" w:fill="2F5496" w:themeFill="accent5" w:themeFillShade="BF"/>
            <w:tcMar>
              <w:top w:w="80" w:type="dxa"/>
              <w:left w:w="120" w:type="dxa"/>
              <w:bottom w:w="80" w:type="dxa"/>
              <w:right w:w="120" w:type="dxa"/>
            </w:tcMar>
          </w:tcPr>
          <w:p w14:paraId="19A0029B" w14:textId="77777777" w:rsidR="00FB17EC" w:rsidRPr="00AE7BE1" w:rsidRDefault="00FB17EC" w:rsidP="00FB17EC">
            <w:pPr>
              <w:jc w:val="both"/>
              <w:rPr>
                <w:rFonts w:cstheme="minorHAnsi"/>
                <w:color w:val="FFFFFF" w:themeColor="background1"/>
              </w:rPr>
            </w:pPr>
            <w:r>
              <w:rPr>
                <w:rFonts w:cstheme="minorHAnsi"/>
                <w:b/>
                <w:color w:val="FFFFFF" w:themeColor="background1"/>
              </w:rPr>
              <w:t>Plazo de entrega máximo</w:t>
            </w:r>
          </w:p>
        </w:tc>
      </w:tr>
      <w:tr w:rsidR="00FB17EC" w:rsidRPr="00AE7BE1" w14:paraId="2EB424E1" w14:textId="77777777" w:rsidTr="00FB17EC">
        <w:tc>
          <w:tcPr>
            <w:tcW w:w="2000" w:type="dxa"/>
            <w:tcMar>
              <w:top w:w="80" w:type="dxa"/>
              <w:left w:w="120" w:type="dxa"/>
              <w:bottom w:w="80" w:type="dxa"/>
              <w:right w:w="120" w:type="dxa"/>
            </w:tcMar>
          </w:tcPr>
          <w:p w14:paraId="0F13870F" w14:textId="77777777" w:rsidR="00FB17EC" w:rsidRPr="00AE7BE1" w:rsidRDefault="00FB17EC" w:rsidP="00FB17EC">
            <w:pPr>
              <w:jc w:val="both"/>
              <w:rPr>
                <w:rFonts w:cstheme="minorHAnsi"/>
              </w:rPr>
            </w:pPr>
            <w:r>
              <w:rPr>
                <w:rFonts w:cstheme="minorHAnsi"/>
              </w:rPr>
              <w:t>Fase de arranque</w:t>
            </w:r>
          </w:p>
        </w:tc>
        <w:tc>
          <w:tcPr>
            <w:tcW w:w="500" w:type="dxa"/>
            <w:tcMar>
              <w:top w:w="80" w:type="dxa"/>
              <w:left w:w="120" w:type="dxa"/>
              <w:bottom w:w="80" w:type="dxa"/>
              <w:right w:w="120" w:type="dxa"/>
            </w:tcMar>
          </w:tcPr>
          <w:p w14:paraId="7B310830" w14:textId="77777777" w:rsidR="00FB17EC" w:rsidRPr="00AE7BE1" w:rsidRDefault="00FB17EC" w:rsidP="00FB17EC">
            <w:pPr>
              <w:jc w:val="both"/>
              <w:rPr>
                <w:rFonts w:cstheme="minorHAnsi"/>
              </w:rPr>
            </w:pPr>
            <w:r>
              <w:rPr>
                <w:rFonts w:cstheme="minorHAnsi"/>
              </w:rPr>
              <w:t>1</w:t>
            </w:r>
          </w:p>
        </w:tc>
        <w:tc>
          <w:tcPr>
            <w:tcW w:w="4526" w:type="dxa"/>
            <w:tcMar>
              <w:top w:w="80" w:type="dxa"/>
              <w:left w:w="120" w:type="dxa"/>
              <w:bottom w:w="80" w:type="dxa"/>
              <w:right w:w="120" w:type="dxa"/>
            </w:tcMar>
          </w:tcPr>
          <w:p w14:paraId="23140D0E" w14:textId="77777777" w:rsidR="00FB17EC" w:rsidRPr="00AE7BE1" w:rsidRDefault="00FB17EC" w:rsidP="00FB17EC">
            <w:pPr>
              <w:jc w:val="both"/>
              <w:rPr>
                <w:rFonts w:cstheme="minorHAnsi"/>
              </w:rPr>
            </w:pPr>
            <w:r>
              <w:rPr>
                <w:rFonts w:cstheme="minorHAnsi"/>
              </w:rPr>
              <w:t>Informe de inicio con metodología, plan de trabajo, matriz de actores, plan de validación, cronograma detallado y plan de aseguramiento de calidad</w:t>
            </w:r>
          </w:p>
        </w:tc>
        <w:tc>
          <w:tcPr>
            <w:tcW w:w="2000" w:type="dxa"/>
            <w:tcMar>
              <w:top w:w="80" w:type="dxa"/>
              <w:left w:w="120" w:type="dxa"/>
              <w:bottom w:w="80" w:type="dxa"/>
              <w:right w:w="120" w:type="dxa"/>
            </w:tcMar>
          </w:tcPr>
          <w:p w14:paraId="5345900D" w14:textId="77777777" w:rsidR="00FB17EC" w:rsidRPr="00AE7BE1" w:rsidRDefault="00FB17EC" w:rsidP="00FB17EC">
            <w:pPr>
              <w:jc w:val="both"/>
              <w:rPr>
                <w:rFonts w:cstheme="minorHAnsi"/>
              </w:rPr>
            </w:pPr>
            <w:r>
              <w:rPr>
                <w:rFonts w:cstheme="minorHAnsi"/>
              </w:rPr>
              <w:t xml:space="preserve">T0 + 15 </w:t>
            </w:r>
            <w:proofErr w:type="spellStart"/>
            <w:r>
              <w:rPr>
                <w:rFonts w:cstheme="minorHAnsi"/>
              </w:rPr>
              <w:t>dh</w:t>
            </w:r>
            <w:proofErr w:type="spellEnd"/>
          </w:p>
        </w:tc>
      </w:tr>
      <w:tr w:rsidR="00FB17EC" w:rsidRPr="00AE7BE1" w14:paraId="3D4B28EF" w14:textId="77777777" w:rsidTr="00FB17EC">
        <w:tc>
          <w:tcPr>
            <w:tcW w:w="2000" w:type="dxa"/>
            <w:tcMar>
              <w:top w:w="80" w:type="dxa"/>
              <w:left w:w="120" w:type="dxa"/>
              <w:bottom w:w="80" w:type="dxa"/>
              <w:right w:w="120" w:type="dxa"/>
            </w:tcMar>
          </w:tcPr>
          <w:p w14:paraId="4FF7A3A1" w14:textId="77777777" w:rsidR="00FB17EC" w:rsidRPr="00AE7BE1" w:rsidRDefault="00FB17EC" w:rsidP="00FB17EC">
            <w:pPr>
              <w:jc w:val="both"/>
              <w:rPr>
                <w:rFonts w:cstheme="minorHAnsi"/>
              </w:rPr>
            </w:pPr>
            <w:r>
              <w:rPr>
                <w:rFonts w:cstheme="minorHAnsi"/>
              </w:rPr>
              <w:t>Actividad 1</w:t>
            </w:r>
          </w:p>
        </w:tc>
        <w:tc>
          <w:tcPr>
            <w:tcW w:w="500" w:type="dxa"/>
            <w:tcMar>
              <w:top w:w="80" w:type="dxa"/>
              <w:left w:w="120" w:type="dxa"/>
              <w:bottom w:w="80" w:type="dxa"/>
              <w:right w:w="120" w:type="dxa"/>
            </w:tcMar>
          </w:tcPr>
          <w:p w14:paraId="6A4D33CC" w14:textId="77777777" w:rsidR="00FB17EC" w:rsidRPr="00AE7BE1" w:rsidRDefault="00FB17EC" w:rsidP="00FB17EC">
            <w:pPr>
              <w:jc w:val="both"/>
              <w:rPr>
                <w:rFonts w:cstheme="minorHAnsi"/>
              </w:rPr>
            </w:pPr>
            <w:r>
              <w:rPr>
                <w:rFonts w:cstheme="minorHAnsi"/>
              </w:rPr>
              <w:t>2</w:t>
            </w:r>
          </w:p>
        </w:tc>
        <w:tc>
          <w:tcPr>
            <w:tcW w:w="4526" w:type="dxa"/>
            <w:tcMar>
              <w:top w:w="80" w:type="dxa"/>
              <w:left w:w="120" w:type="dxa"/>
              <w:bottom w:w="80" w:type="dxa"/>
              <w:right w:w="120" w:type="dxa"/>
            </w:tcMar>
          </w:tcPr>
          <w:p w14:paraId="2EC910EC" w14:textId="77777777" w:rsidR="00FB17EC" w:rsidRPr="00AE7BE1" w:rsidRDefault="00FB17EC" w:rsidP="00FB17EC">
            <w:pPr>
              <w:jc w:val="both"/>
              <w:rPr>
                <w:rFonts w:cstheme="minorHAnsi"/>
              </w:rPr>
            </w:pPr>
            <w:r>
              <w:rPr>
                <w:rFonts w:cstheme="minorHAnsi"/>
              </w:rPr>
              <w:t>Mapeo de oportunidades diversificadas + matriz multicriterio de priorización</w:t>
            </w:r>
          </w:p>
        </w:tc>
        <w:tc>
          <w:tcPr>
            <w:tcW w:w="2000" w:type="dxa"/>
            <w:tcMar>
              <w:top w:w="80" w:type="dxa"/>
              <w:left w:w="120" w:type="dxa"/>
              <w:bottom w:w="80" w:type="dxa"/>
              <w:right w:w="120" w:type="dxa"/>
            </w:tcMar>
          </w:tcPr>
          <w:p w14:paraId="729AF237" w14:textId="77777777" w:rsidR="00FB17EC" w:rsidRPr="00AE7BE1" w:rsidRDefault="00FB17EC" w:rsidP="00FB17EC">
            <w:pPr>
              <w:jc w:val="both"/>
              <w:rPr>
                <w:rFonts w:cstheme="minorHAnsi"/>
              </w:rPr>
            </w:pPr>
            <w:r>
              <w:rPr>
                <w:rFonts w:cstheme="minorHAnsi"/>
              </w:rPr>
              <w:t xml:space="preserve">T0 + 35 </w:t>
            </w:r>
            <w:proofErr w:type="spellStart"/>
            <w:r>
              <w:rPr>
                <w:rFonts w:cstheme="minorHAnsi"/>
              </w:rPr>
              <w:t>dh</w:t>
            </w:r>
            <w:proofErr w:type="spellEnd"/>
          </w:p>
        </w:tc>
      </w:tr>
      <w:tr w:rsidR="00FB17EC" w:rsidRPr="00AE7BE1" w14:paraId="670420F3" w14:textId="77777777" w:rsidTr="00FB17EC">
        <w:tc>
          <w:tcPr>
            <w:tcW w:w="2000" w:type="dxa"/>
            <w:tcMar>
              <w:top w:w="80" w:type="dxa"/>
              <w:left w:w="120" w:type="dxa"/>
              <w:bottom w:w="80" w:type="dxa"/>
              <w:right w:w="120" w:type="dxa"/>
            </w:tcMar>
          </w:tcPr>
          <w:p w14:paraId="076E2388" w14:textId="77777777" w:rsidR="00FB17EC" w:rsidRPr="00AE7BE1" w:rsidRDefault="00FB17EC" w:rsidP="00FB17EC">
            <w:pPr>
              <w:jc w:val="both"/>
              <w:rPr>
                <w:rFonts w:cstheme="minorHAnsi"/>
              </w:rPr>
            </w:pPr>
            <w:r>
              <w:rPr>
                <w:rFonts w:cstheme="minorHAnsi"/>
              </w:rPr>
              <w:t>Actividad 2</w:t>
            </w:r>
          </w:p>
        </w:tc>
        <w:tc>
          <w:tcPr>
            <w:tcW w:w="500" w:type="dxa"/>
            <w:tcMar>
              <w:top w:w="80" w:type="dxa"/>
              <w:left w:w="120" w:type="dxa"/>
              <w:bottom w:w="80" w:type="dxa"/>
              <w:right w:w="120" w:type="dxa"/>
            </w:tcMar>
          </w:tcPr>
          <w:p w14:paraId="2755CF8E" w14:textId="77777777" w:rsidR="00FB17EC" w:rsidRPr="00AE7BE1" w:rsidRDefault="00FB17EC" w:rsidP="00FB17EC">
            <w:pPr>
              <w:jc w:val="both"/>
              <w:rPr>
                <w:rFonts w:cstheme="minorHAnsi"/>
              </w:rPr>
            </w:pPr>
            <w:r>
              <w:rPr>
                <w:rFonts w:cstheme="minorHAnsi"/>
              </w:rPr>
              <w:t>3</w:t>
            </w:r>
          </w:p>
        </w:tc>
        <w:tc>
          <w:tcPr>
            <w:tcW w:w="4526" w:type="dxa"/>
            <w:tcMar>
              <w:top w:w="80" w:type="dxa"/>
              <w:left w:w="120" w:type="dxa"/>
              <w:bottom w:w="80" w:type="dxa"/>
              <w:right w:w="120" w:type="dxa"/>
            </w:tcMar>
          </w:tcPr>
          <w:p w14:paraId="22084870" w14:textId="77777777" w:rsidR="00FB17EC" w:rsidRPr="00AE7BE1" w:rsidRDefault="00FB17EC" w:rsidP="00FB17EC">
            <w:pPr>
              <w:jc w:val="both"/>
              <w:rPr>
                <w:rFonts w:cstheme="minorHAnsi"/>
              </w:rPr>
            </w:pPr>
            <w:r>
              <w:rPr>
                <w:rFonts w:cstheme="minorHAnsi"/>
              </w:rPr>
              <w:t>Inventario y análisis comparado de instrumentos internacionales + criterios de elegibilidad y preselección</w:t>
            </w:r>
          </w:p>
        </w:tc>
        <w:tc>
          <w:tcPr>
            <w:tcW w:w="2000" w:type="dxa"/>
            <w:tcMar>
              <w:top w:w="80" w:type="dxa"/>
              <w:left w:w="120" w:type="dxa"/>
              <w:bottom w:w="80" w:type="dxa"/>
              <w:right w:w="120" w:type="dxa"/>
            </w:tcMar>
          </w:tcPr>
          <w:p w14:paraId="32CFBFF6" w14:textId="77777777" w:rsidR="00FB17EC" w:rsidRPr="00AE7BE1" w:rsidRDefault="00FB17EC" w:rsidP="00FB17EC">
            <w:pPr>
              <w:jc w:val="both"/>
              <w:rPr>
                <w:rFonts w:cstheme="minorHAnsi"/>
              </w:rPr>
            </w:pPr>
            <w:r>
              <w:rPr>
                <w:rFonts w:cstheme="minorHAnsi"/>
              </w:rPr>
              <w:t xml:space="preserve">T0 + 70 </w:t>
            </w:r>
            <w:proofErr w:type="spellStart"/>
            <w:r>
              <w:rPr>
                <w:rFonts w:cstheme="minorHAnsi"/>
              </w:rPr>
              <w:t>dh</w:t>
            </w:r>
            <w:proofErr w:type="spellEnd"/>
          </w:p>
        </w:tc>
      </w:tr>
      <w:tr w:rsidR="00FB17EC" w:rsidRPr="00AE7BE1" w14:paraId="7860A9A6" w14:textId="77777777" w:rsidTr="00FB17EC">
        <w:tc>
          <w:tcPr>
            <w:tcW w:w="2000" w:type="dxa"/>
            <w:tcMar>
              <w:top w:w="80" w:type="dxa"/>
              <w:left w:w="120" w:type="dxa"/>
              <w:bottom w:w="80" w:type="dxa"/>
              <w:right w:w="120" w:type="dxa"/>
            </w:tcMar>
          </w:tcPr>
          <w:p w14:paraId="2470E94A" w14:textId="77777777" w:rsidR="00FB17EC" w:rsidRPr="00AE7BE1" w:rsidRDefault="00FB17EC" w:rsidP="00FB17EC">
            <w:pPr>
              <w:jc w:val="both"/>
              <w:rPr>
                <w:rFonts w:cstheme="minorHAnsi"/>
              </w:rPr>
            </w:pPr>
            <w:r>
              <w:rPr>
                <w:rFonts w:cstheme="minorHAnsi"/>
              </w:rPr>
              <w:t>Actividad 2</w:t>
            </w:r>
          </w:p>
        </w:tc>
        <w:tc>
          <w:tcPr>
            <w:tcW w:w="500" w:type="dxa"/>
            <w:tcMar>
              <w:top w:w="80" w:type="dxa"/>
              <w:left w:w="120" w:type="dxa"/>
              <w:bottom w:w="80" w:type="dxa"/>
              <w:right w:w="120" w:type="dxa"/>
            </w:tcMar>
          </w:tcPr>
          <w:p w14:paraId="1AB27BA6" w14:textId="77777777" w:rsidR="00FB17EC" w:rsidRPr="00AE7BE1" w:rsidRDefault="00FB17EC" w:rsidP="00FB17EC">
            <w:pPr>
              <w:jc w:val="both"/>
              <w:rPr>
                <w:rFonts w:cstheme="minorHAnsi"/>
              </w:rPr>
            </w:pPr>
            <w:r>
              <w:rPr>
                <w:rFonts w:cstheme="minorHAnsi"/>
              </w:rPr>
              <w:t>4</w:t>
            </w:r>
          </w:p>
        </w:tc>
        <w:tc>
          <w:tcPr>
            <w:tcW w:w="4526" w:type="dxa"/>
            <w:tcMar>
              <w:top w:w="80" w:type="dxa"/>
              <w:left w:w="120" w:type="dxa"/>
              <w:bottom w:w="80" w:type="dxa"/>
              <w:right w:w="120" w:type="dxa"/>
            </w:tcMar>
          </w:tcPr>
          <w:p w14:paraId="4C3E58E2" w14:textId="77777777" w:rsidR="00FB17EC" w:rsidRPr="00AE7BE1" w:rsidRDefault="00FB17EC" w:rsidP="00FB17EC">
            <w:pPr>
              <w:jc w:val="both"/>
              <w:rPr>
                <w:rFonts w:cstheme="minorHAnsi"/>
              </w:rPr>
            </w:pPr>
            <w:r>
              <w:rPr>
                <w:rFonts w:cstheme="minorHAnsi"/>
              </w:rPr>
              <w:t>Priorización de instrumentos y propuesta de cartera priorizada</w:t>
            </w:r>
          </w:p>
        </w:tc>
        <w:tc>
          <w:tcPr>
            <w:tcW w:w="2000" w:type="dxa"/>
            <w:tcMar>
              <w:top w:w="80" w:type="dxa"/>
              <w:left w:w="120" w:type="dxa"/>
              <w:bottom w:w="80" w:type="dxa"/>
              <w:right w:w="120" w:type="dxa"/>
            </w:tcMar>
          </w:tcPr>
          <w:p w14:paraId="0EE4BE2E" w14:textId="77777777" w:rsidR="00FB17EC" w:rsidRPr="00AE7BE1" w:rsidRDefault="00FB17EC" w:rsidP="00FB17EC">
            <w:pPr>
              <w:jc w:val="both"/>
              <w:rPr>
                <w:rFonts w:cstheme="minorHAnsi"/>
              </w:rPr>
            </w:pPr>
            <w:r>
              <w:rPr>
                <w:rFonts w:cstheme="minorHAnsi"/>
              </w:rPr>
              <w:t xml:space="preserve">T0 + 90 </w:t>
            </w:r>
            <w:proofErr w:type="spellStart"/>
            <w:r>
              <w:rPr>
                <w:rFonts w:cstheme="minorHAnsi"/>
              </w:rPr>
              <w:t>dh</w:t>
            </w:r>
            <w:proofErr w:type="spellEnd"/>
          </w:p>
        </w:tc>
      </w:tr>
      <w:tr w:rsidR="00FB17EC" w:rsidRPr="00AE7BE1" w14:paraId="4003F455" w14:textId="77777777" w:rsidTr="00FB17EC">
        <w:tc>
          <w:tcPr>
            <w:tcW w:w="2000" w:type="dxa"/>
            <w:tcMar>
              <w:top w:w="80" w:type="dxa"/>
              <w:left w:w="120" w:type="dxa"/>
              <w:bottom w:w="80" w:type="dxa"/>
              <w:right w:w="120" w:type="dxa"/>
            </w:tcMar>
          </w:tcPr>
          <w:p w14:paraId="2F593553" w14:textId="77777777" w:rsidR="00FB17EC" w:rsidRPr="00AE7BE1" w:rsidRDefault="00FB17EC" w:rsidP="00FB17EC">
            <w:pPr>
              <w:jc w:val="both"/>
              <w:rPr>
                <w:rFonts w:cstheme="minorHAnsi"/>
              </w:rPr>
            </w:pPr>
            <w:r>
              <w:rPr>
                <w:rFonts w:cstheme="minorHAnsi"/>
              </w:rPr>
              <w:t>Actividad 2</w:t>
            </w:r>
          </w:p>
        </w:tc>
        <w:tc>
          <w:tcPr>
            <w:tcW w:w="500" w:type="dxa"/>
            <w:tcMar>
              <w:top w:w="80" w:type="dxa"/>
              <w:left w:w="120" w:type="dxa"/>
              <w:bottom w:w="80" w:type="dxa"/>
              <w:right w:w="120" w:type="dxa"/>
            </w:tcMar>
          </w:tcPr>
          <w:p w14:paraId="0C5F79E9" w14:textId="77777777" w:rsidR="00FB17EC" w:rsidRPr="00AE7BE1" w:rsidRDefault="00FB17EC" w:rsidP="00FB17EC">
            <w:pPr>
              <w:jc w:val="both"/>
              <w:rPr>
                <w:rFonts w:cstheme="minorHAnsi"/>
              </w:rPr>
            </w:pPr>
            <w:r>
              <w:rPr>
                <w:rFonts w:cstheme="minorHAnsi"/>
              </w:rPr>
              <w:t>5</w:t>
            </w:r>
          </w:p>
        </w:tc>
        <w:tc>
          <w:tcPr>
            <w:tcW w:w="4526" w:type="dxa"/>
            <w:tcMar>
              <w:top w:w="80" w:type="dxa"/>
              <w:left w:w="120" w:type="dxa"/>
              <w:bottom w:w="80" w:type="dxa"/>
              <w:right w:w="120" w:type="dxa"/>
            </w:tcMar>
          </w:tcPr>
          <w:p w14:paraId="45D4A16E" w14:textId="77777777" w:rsidR="00FB17EC" w:rsidRPr="00AE7BE1" w:rsidRDefault="00FB17EC" w:rsidP="00FB17EC">
            <w:pPr>
              <w:jc w:val="both"/>
              <w:rPr>
                <w:rFonts w:cstheme="minorHAnsi"/>
              </w:rPr>
            </w:pPr>
            <w:r>
              <w:rPr>
                <w:rFonts w:cstheme="minorHAnsi"/>
              </w:rPr>
              <w:t>Diseño conceptual y modelo operativo de instrumentos seleccionados</w:t>
            </w:r>
          </w:p>
        </w:tc>
        <w:tc>
          <w:tcPr>
            <w:tcW w:w="2000" w:type="dxa"/>
            <w:tcMar>
              <w:top w:w="80" w:type="dxa"/>
              <w:left w:w="120" w:type="dxa"/>
              <w:bottom w:w="80" w:type="dxa"/>
              <w:right w:w="120" w:type="dxa"/>
            </w:tcMar>
          </w:tcPr>
          <w:p w14:paraId="0941E53C" w14:textId="77777777" w:rsidR="00FB17EC" w:rsidRPr="00AE7BE1" w:rsidRDefault="00FB17EC" w:rsidP="00FB17EC">
            <w:pPr>
              <w:jc w:val="both"/>
              <w:rPr>
                <w:rFonts w:cstheme="minorHAnsi"/>
              </w:rPr>
            </w:pPr>
            <w:r>
              <w:rPr>
                <w:rFonts w:cstheme="minorHAnsi"/>
              </w:rPr>
              <w:t xml:space="preserve">T0 + 125 </w:t>
            </w:r>
            <w:proofErr w:type="spellStart"/>
            <w:r>
              <w:rPr>
                <w:rFonts w:cstheme="minorHAnsi"/>
              </w:rPr>
              <w:t>dh</w:t>
            </w:r>
            <w:proofErr w:type="spellEnd"/>
          </w:p>
        </w:tc>
      </w:tr>
      <w:tr w:rsidR="00FB17EC" w:rsidRPr="00AE7BE1" w14:paraId="118887EB" w14:textId="77777777" w:rsidTr="00FB17EC">
        <w:tc>
          <w:tcPr>
            <w:tcW w:w="2000" w:type="dxa"/>
            <w:tcMar>
              <w:top w:w="80" w:type="dxa"/>
              <w:left w:w="120" w:type="dxa"/>
              <w:bottom w:w="80" w:type="dxa"/>
              <w:right w:w="120" w:type="dxa"/>
            </w:tcMar>
          </w:tcPr>
          <w:p w14:paraId="72C129EE" w14:textId="77777777" w:rsidR="00FB17EC" w:rsidRPr="00AE7BE1" w:rsidRDefault="00FB17EC" w:rsidP="00FB17EC">
            <w:pPr>
              <w:jc w:val="both"/>
              <w:rPr>
                <w:rFonts w:cstheme="minorHAnsi"/>
              </w:rPr>
            </w:pPr>
            <w:r>
              <w:rPr>
                <w:rFonts w:cstheme="minorHAnsi"/>
              </w:rPr>
              <w:lastRenderedPageBreak/>
              <w:t>Actividad 2</w:t>
            </w:r>
          </w:p>
        </w:tc>
        <w:tc>
          <w:tcPr>
            <w:tcW w:w="500" w:type="dxa"/>
            <w:tcMar>
              <w:top w:w="80" w:type="dxa"/>
              <w:left w:w="120" w:type="dxa"/>
              <w:bottom w:w="80" w:type="dxa"/>
              <w:right w:w="120" w:type="dxa"/>
            </w:tcMar>
          </w:tcPr>
          <w:p w14:paraId="7772937B" w14:textId="77777777" w:rsidR="00FB17EC" w:rsidRPr="00AE7BE1" w:rsidRDefault="00FB17EC" w:rsidP="00FB17EC">
            <w:pPr>
              <w:jc w:val="both"/>
              <w:rPr>
                <w:rFonts w:cstheme="minorHAnsi"/>
              </w:rPr>
            </w:pPr>
            <w:r>
              <w:rPr>
                <w:rFonts w:cstheme="minorHAnsi"/>
              </w:rPr>
              <w:t>6</w:t>
            </w:r>
          </w:p>
        </w:tc>
        <w:tc>
          <w:tcPr>
            <w:tcW w:w="4526" w:type="dxa"/>
            <w:tcMar>
              <w:top w:w="80" w:type="dxa"/>
              <w:left w:w="120" w:type="dxa"/>
              <w:bottom w:w="80" w:type="dxa"/>
              <w:right w:w="120" w:type="dxa"/>
            </w:tcMar>
          </w:tcPr>
          <w:p w14:paraId="0190D7FD" w14:textId="77777777" w:rsidR="00FB17EC" w:rsidRPr="00AE7BE1" w:rsidRDefault="00FB17EC" w:rsidP="00FB17EC">
            <w:pPr>
              <w:jc w:val="both"/>
              <w:rPr>
                <w:rFonts w:cstheme="minorHAnsi"/>
              </w:rPr>
            </w:pPr>
            <w:r>
              <w:rPr>
                <w:rFonts w:cstheme="minorHAnsi"/>
              </w:rPr>
              <w:t>Paquetes técnicos listos para operacionalización/alistamiento para implementación</w:t>
            </w:r>
          </w:p>
        </w:tc>
        <w:tc>
          <w:tcPr>
            <w:tcW w:w="2000" w:type="dxa"/>
            <w:tcMar>
              <w:top w:w="80" w:type="dxa"/>
              <w:left w:w="120" w:type="dxa"/>
              <w:bottom w:w="80" w:type="dxa"/>
              <w:right w:w="120" w:type="dxa"/>
            </w:tcMar>
          </w:tcPr>
          <w:p w14:paraId="2CBAB398" w14:textId="77777777" w:rsidR="00FB17EC" w:rsidRPr="00AE7BE1" w:rsidRDefault="00FB17EC" w:rsidP="00FB17EC">
            <w:pPr>
              <w:jc w:val="both"/>
              <w:rPr>
                <w:rFonts w:cstheme="minorHAnsi"/>
              </w:rPr>
            </w:pPr>
            <w:r>
              <w:rPr>
                <w:rFonts w:cstheme="minorHAnsi"/>
              </w:rPr>
              <w:t xml:space="preserve">T0 + 140 </w:t>
            </w:r>
            <w:proofErr w:type="spellStart"/>
            <w:r>
              <w:rPr>
                <w:rFonts w:cstheme="minorHAnsi"/>
              </w:rPr>
              <w:t>dh</w:t>
            </w:r>
            <w:proofErr w:type="spellEnd"/>
          </w:p>
        </w:tc>
      </w:tr>
      <w:tr w:rsidR="00FB17EC" w:rsidRPr="00AE7BE1" w14:paraId="6C6C5E39" w14:textId="77777777" w:rsidTr="00FB17EC">
        <w:tc>
          <w:tcPr>
            <w:tcW w:w="2000" w:type="dxa"/>
            <w:tcMar>
              <w:top w:w="80" w:type="dxa"/>
              <w:left w:w="120" w:type="dxa"/>
              <w:bottom w:w="80" w:type="dxa"/>
              <w:right w:w="120" w:type="dxa"/>
            </w:tcMar>
          </w:tcPr>
          <w:p w14:paraId="3DD2FC1B" w14:textId="77777777" w:rsidR="00FB17EC" w:rsidRPr="00AE7BE1" w:rsidRDefault="00FB17EC" w:rsidP="00FB17EC">
            <w:pPr>
              <w:jc w:val="both"/>
              <w:rPr>
                <w:rFonts w:cstheme="minorHAnsi"/>
              </w:rPr>
            </w:pPr>
            <w:r>
              <w:rPr>
                <w:rFonts w:cstheme="minorHAnsi"/>
              </w:rPr>
              <w:t>Actividad 3</w:t>
            </w:r>
          </w:p>
        </w:tc>
        <w:tc>
          <w:tcPr>
            <w:tcW w:w="500" w:type="dxa"/>
            <w:tcMar>
              <w:top w:w="80" w:type="dxa"/>
              <w:left w:w="120" w:type="dxa"/>
              <w:bottom w:w="80" w:type="dxa"/>
              <w:right w:w="120" w:type="dxa"/>
            </w:tcMar>
          </w:tcPr>
          <w:p w14:paraId="621E5CB4" w14:textId="77777777" w:rsidR="00FB17EC" w:rsidRPr="00AE7BE1" w:rsidRDefault="00FB17EC" w:rsidP="00FB17EC">
            <w:pPr>
              <w:jc w:val="both"/>
              <w:rPr>
                <w:rFonts w:cstheme="minorHAnsi"/>
              </w:rPr>
            </w:pPr>
            <w:r>
              <w:rPr>
                <w:rFonts w:cstheme="minorHAnsi"/>
              </w:rPr>
              <w:t>7</w:t>
            </w:r>
          </w:p>
        </w:tc>
        <w:tc>
          <w:tcPr>
            <w:tcW w:w="4526" w:type="dxa"/>
            <w:tcMar>
              <w:top w:w="80" w:type="dxa"/>
              <w:left w:w="120" w:type="dxa"/>
              <w:bottom w:w="80" w:type="dxa"/>
              <w:right w:w="120" w:type="dxa"/>
            </w:tcMar>
          </w:tcPr>
          <w:p w14:paraId="41D75316" w14:textId="77777777" w:rsidR="00FB17EC" w:rsidRPr="00AE7BE1" w:rsidRDefault="00FB17EC" w:rsidP="00FB17EC">
            <w:pPr>
              <w:jc w:val="both"/>
              <w:rPr>
                <w:rFonts w:cstheme="minorHAnsi"/>
              </w:rPr>
            </w:pPr>
            <w:r>
              <w:rPr>
                <w:rFonts w:cstheme="minorHAnsi"/>
              </w:rPr>
              <w:t>Informe de validación con talleres, ajustes y acuerdos técnicos</w:t>
            </w:r>
          </w:p>
        </w:tc>
        <w:tc>
          <w:tcPr>
            <w:tcW w:w="2000" w:type="dxa"/>
            <w:tcMar>
              <w:top w:w="80" w:type="dxa"/>
              <w:left w:w="120" w:type="dxa"/>
              <w:bottom w:w="80" w:type="dxa"/>
              <w:right w:w="120" w:type="dxa"/>
            </w:tcMar>
          </w:tcPr>
          <w:p w14:paraId="7C9B49D5" w14:textId="77777777" w:rsidR="00FB17EC" w:rsidRPr="00AE7BE1" w:rsidRDefault="00FB17EC" w:rsidP="00FB17EC">
            <w:pPr>
              <w:jc w:val="both"/>
              <w:rPr>
                <w:rFonts w:cstheme="minorHAnsi"/>
              </w:rPr>
            </w:pPr>
            <w:r>
              <w:rPr>
                <w:rFonts w:cstheme="minorHAnsi"/>
              </w:rPr>
              <w:t xml:space="preserve">T0 + 175 </w:t>
            </w:r>
            <w:proofErr w:type="spellStart"/>
            <w:r>
              <w:rPr>
                <w:rFonts w:cstheme="minorHAnsi"/>
              </w:rPr>
              <w:t>dh</w:t>
            </w:r>
            <w:proofErr w:type="spellEnd"/>
          </w:p>
        </w:tc>
      </w:tr>
      <w:tr w:rsidR="00FB17EC" w:rsidRPr="00AE7BE1" w14:paraId="016391D0" w14:textId="77777777" w:rsidTr="00FB17EC">
        <w:tc>
          <w:tcPr>
            <w:tcW w:w="2000" w:type="dxa"/>
            <w:tcMar>
              <w:top w:w="80" w:type="dxa"/>
              <w:left w:w="120" w:type="dxa"/>
              <w:bottom w:w="80" w:type="dxa"/>
              <w:right w:w="120" w:type="dxa"/>
            </w:tcMar>
          </w:tcPr>
          <w:p w14:paraId="146795A3" w14:textId="77777777" w:rsidR="00FB17EC" w:rsidRPr="00AE7BE1" w:rsidRDefault="00FB17EC" w:rsidP="00FB17EC">
            <w:pPr>
              <w:jc w:val="both"/>
              <w:rPr>
                <w:rFonts w:cstheme="minorHAnsi"/>
              </w:rPr>
            </w:pPr>
            <w:r>
              <w:rPr>
                <w:rFonts w:cstheme="minorHAnsi"/>
              </w:rPr>
              <w:t>Actividad 3</w:t>
            </w:r>
          </w:p>
        </w:tc>
        <w:tc>
          <w:tcPr>
            <w:tcW w:w="500" w:type="dxa"/>
            <w:tcMar>
              <w:top w:w="80" w:type="dxa"/>
              <w:left w:w="120" w:type="dxa"/>
              <w:bottom w:w="80" w:type="dxa"/>
              <w:right w:w="120" w:type="dxa"/>
            </w:tcMar>
          </w:tcPr>
          <w:p w14:paraId="64E45B77" w14:textId="77777777" w:rsidR="00FB17EC" w:rsidRPr="00AE7BE1" w:rsidRDefault="00FB17EC" w:rsidP="00FB17EC">
            <w:pPr>
              <w:jc w:val="both"/>
              <w:rPr>
                <w:rFonts w:cstheme="minorHAnsi"/>
              </w:rPr>
            </w:pPr>
            <w:r>
              <w:rPr>
                <w:rFonts w:cstheme="minorHAnsi"/>
              </w:rPr>
              <w:t>8</w:t>
            </w:r>
          </w:p>
        </w:tc>
        <w:tc>
          <w:tcPr>
            <w:tcW w:w="4526" w:type="dxa"/>
            <w:tcMar>
              <w:top w:w="80" w:type="dxa"/>
              <w:left w:w="120" w:type="dxa"/>
              <w:bottom w:w="80" w:type="dxa"/>
              <w:right w:w="120" w:type="dxa"/>
            </w:tcMar>
          </w:tcPr>
          <w:p w14:paraId="2795C87D" w14:textId="77777777" w:rsidR="00FB17EC" w:rsidRPr="00AE7BE1" w:rsidRDefault="00FB17EC" w:rsidP="00FB17EC">
            <w:pPr>
              <w:jc w:val="both"/>
              <w:rPr>
                <w:rFonts w:cstheme="minorHAnsi"/>
              </w:rPr>
            </w:pPr>
            <w:r>
              <w:rPr>
                <w:rFonts w:cstheme="minorHAnsi"/>
              </w:rPr>
              <w:t>Plan de implementación y fortalecimiento de capacidades institucionales para la sostenibilidad autónoma del PSA 2.0</w:t>
            </w:r>
          </w:p>
        </w:tc>
        <w:tc>
          <w:tcPr>
            <w:tcW w:w="2000" w:type="dxa"/>
            <w:tcMar>
              <w:top w:w="80" w:type="dxa"/>
              <w:left w:w="120" w:type="dxa"/>
              <w:bottom w:w="80" w:type="dxa"/>
              <w:right w:w="120" w:type="dxa"/>
            </w:tcMar>
          </w:tcPr>
          <w:p w14:paraId="3839183C" w14:textId="77777777" w:rsidR="00FB17EC" w:rsidRPr="00AE7BE1" w:rsidRDefault="00FB17EC" w:rsidP="00FB17EC">
            <w:pPr>
              <w:jc w:val="both"/>
              <w:rPr>
                <w:rFonts w:cstheme="minorHAnsi"/>
              </w:rPr>
            </w:pPr>
            <w:r>
              <w:rPr>
                <w:rFonts w:cstheme="minorHAnsi"/>
              </w:rPr>
              <w:t xml:space="preserve">T0 + 195 </w:t>
            </w:r>
            <w:proofErr w:type="spellStart"/>
            <w:r>
              <w:rPr>
                <w:rFonts w:cstheme="minorHAnsi"/>
              </w:rPr>
              <w:t>dh</w:t>
            </w:r>
            <w:proofErr w:type="spellEnd"/>
          </w:p>
        </w:tc>
      </w:tr>
      <w:tr w:rsidR="00FB17EC" w:rsidRPr="00AE7BE1" w14:paraId="63788077" w14:textId="77777777" w:rsidTr="00FB17EC">
        <w:tc>
          <w:tcPr>
            <w:tcW w:w="2000" w:type="dxa"/>
            <w:tcMar>
              <w:top w:w="80" w:type="dxa"/>
              <w:left w:w="120" w:type="dxa"/>
              <w:bottom w:w="80" w:type="dxa"/>
              <w:right w:w="120" w:type="dxa"/>
            </w:tcMar>
          </w:tcPr>
          <w:p w14:paraId="63DD8E22" w14:textId="77777777" w:rsidR="00FB17EC" w:rsidRPr="00AE7BE1" w:rsidRDefault="00FB17EC" w:rsidP="00FB17EC">
            <w:pPr>
              <w:jc w:val="both"/>
              <w:rPr>
                <w:rFonts w:cstheme="minorHAnsi"/>
              </w:rPr>
            </w:pPr>
            <w:r>
              <w:rPr>
                <w:rFonts w:cstheme="minorHAnsi"/>
              </w:rPr>
              <w:t>Cierre</w:t>
            </w:r>
          </w:p>
        </w:tc>
        <w:tc>
          <w:tcPr>
            <w:tcW w:w="500" w:type="dxa"/>
            <w:tcMar>
              <w:top w:w="80" w:type="dxa"/>
              <w:left w:w="120" w:type="dxa"/>
              <w:bottom w:w="80" w:type="dxa"/>
              <w:right w:w="120" w:type="dxa"/>
            </w:tcMar>
          </w:tcPr>
          <w:p w14:paraId="45A2A9AF" w14:textId="77777777" w:rsidR="00FB17EC" w:rsidRPr="00AE7BE1" w:rsidRDefault="00FB17EC" w:rsidP="00FB17EC">
            <w:pPr>
              <w:jc w:val="both"/>
              <w:rPr>
                <w:rFonts w:cstheme="minorHAnsi"/>
              </w:rPr>
            </w:pPr>
            <w:r>
              <w:rPr>
                <w:rFonts w:cstheme="minorHAnsi"/>
              </w:rPr>
              <w:t>9</w:t>
            </w:r>
          </w:p>
        </w:tc>
        <w:tc>
          <w:tcPr>
            <w:tcW w:w="4526" w:type="dxa"/>
            <w:tcMar>
              <w:top w:w="80" w:type="dxa"/>
              <w:left w:w="120" w:type="dxa"/>
              <w:bottom w:w="80" w:type="dxa"/>
              <w:right w:w="120" w:type="dxa"/>
            </w:tcMar>
          </w:tcPr>
          <w:p w14:paraId="0C548322" w14:textId="77777777" w:rsidR="00FB17EC" w:rsidRPr="00AE7BE1" w:rsidRDefault="00FB17EC" w:rsidP="00FB17EC">
            <w:pPr>
              <w:jc w:val="both"/>
              <w:rPr>
                <w:rFonts w:cstheme="minorHAnsi"/>
              </w:rPr>
            </w:pPr>
            <w:r>
              <w:rPr>
                <w:rFonts w:cstheme="minorHAnsi"/>
              </w:rPr>
              <w:t>Informe final consolidado + evaluación de sostenibilidad + hoja de ruta de escalamiento + portafolio inicial de iniciativas elegibles + anexos operativos</w:t>
            </w:r>
          </w:p>
        </w:tc>
        <w:tc>
          <w:tcPr>
            <w:tcW w:w="2000" w:type="dxa"/>
            <w:tcMar>
              <w:top w:w="80" w:type="dxa"/>
              <w:left w:w="120" w:type="dxa"/>
              <w:bottom w:w="80" w:type="dxa"/>
              <w:right w:w="120" w:type="dxa"/>
            </w:tcMar>
          </w:tcPr>
          <w:p w14:paraId="213759B0" w14:textId="77777777" w:rsidR="00FB17EC" w:rsidRPr="00AE7BE1" w:rsidRDefault="00FB17EC" w:rsidP="00FB17EC">
            <w:pPr>
              <w:jc w:val="both"/>
              <w:rPr>
                <w:rFonts w:cstheme="minorHAnsi"/>
              </w:rPr>
            </w:pPr>
            <w:r>
              <w:rPr>
                <w:rFonts w:cstheme="minorHAnsi"/>
              </w:rPr>
              <w:t xml:space="preserve">15 </w:t>
            </w:r>
            <w:proofErr w:type="spellStart"/>
            <w:r>
              <w:rPr>
                <w:rFonts w:cstheme="minorHAnsi"/>
              </w:rPr>
              <w:t>dh</w:t>
            </w:r>
            <w:proofErr w:type="spellEnd"/>
            <w:r>
              <w:rPr>
                <w:rFonts w:cstheme="minorHAnsi"/>
              </w:rPr>
              <w:t xml:space="preserve"> </w:t>
            </w:r>
            <w:proofErr w:type="spellStart"/>
            <w:r>
              <w:rPr>
                <w:rFonts w:cstheme="minorHAnsi"/>
              </w:rPr>
              <w:t>post-cierre</w:t>
            </w:r>
            <w:proofErr w:type="spellEnd"/>
          </w:p>
        </w:tc>
      </w:tr>
    </w:tbl>
    <w:p w14:paraId="0FE5E814" w14:textId="77777777" w:rsidR="00567CAF" w:rsidRPr="00F072E2" w:rsidRDefault="00567CAF" w:rsidP="00F072E2">
      <w:pPr>
        <w:spacing w:after="80"/>
        <w:jc w:val="both"/>
        <w:rPr>
          <w:rFonts w:asciiTheme="minorHAnsi" w:hAnsiTheme="minorHAnsi" w:cstheme="minorHAnsi"/>
          <w:sz w:val="22"/>
          <w:szCs w:val="22"/>
        </w:rPr>
      </w:pPr>
    </w:p>
    <w:p w14:paraId="0204F739"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7. MODALIDADES PRÁCTICAS</w:t>
      </w:r>
    </w:p>
    <w:p w14:paraId="138D02C7" w14:textId="77777777" w:rsidR="00567CAF" w:rsidRPr="00F072E2" w:rsidRDefault="00D86CA1" w:rsidP="00F072E2">
      <w:pPr>
        <w:pStyle w:val="Ttulo2"/>
        <w:jc w:val="both"/>
        <w:rPr>
          <w:rFonts w:cstheme="minorHAnsi"/>
          <w:sz w:val="22"/>
          <w:szCs w:val="22"/>
        </w:rPr>
      </w:pPr>
      <w:r w:rsidRPr="00F072E2">
        <w:rPr>
          <w:rFonts w:cstheme="minorHAnsi"/>
          <w:sz w:val="22"/>
          <w:szCs w:val="22"/>
        </w:rPr>
        <w:t>7.1 Seguimiento y Reporte</w:t>
      </w:r>
    </w:p>
    <w:p w14:paraId="23B04132"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 proveedor deberá entregar un informe de avance mensual (bitácora de actividades, análisis de ejecución, seguimiento de riesgos y recomendaciones) de no más de 2 páginas con formato definido a más tardar 5 días hábiles después del cierre de cada mes. El informe final deberá entregarse 15 días hábiles después del cierre de todas las actividades.</w:t>
      </w:r>
    </w:p>
    <w:p w14:paraId="3BC1EEC9" w14:textId="77777777" w:rsidR="00567CAF" w:rsidRPr="00F072E2" w:rsidRDefault="00567CAF" w:rsidP="00F072E2">
      <w:pPr>
        <w:spacing w:after="80"/>
        <w:jc w:val="both"/>
        <w:rPr>
          <w:rFonts w:asciiTheme="minorHAnsi" w:hAnsiTheme="minorHAnsi" w:cstheme="minorHAnsi"/>
          <w:sz w:val="22"/>
          <w:szCs w:val="22"/>
        </w:rPr>
      </w:pPr>
    </w:p>
    <w:p w14:paraId="19F263C6" w14:textId="77777777" w:rsidR="00567CAF" w:rsidRPr="00F072E2" w:rsidRDefault="00D86CA1" w:rsidP="00F072E2">
      <w:pPr>
        <w:pStyle w:val="Ttulo2"/>
        <w:jc w:val="both"/>
        <w:rPr>
          <w:rFonts w:cstheme="minorHAnsi"/>
          <w:sz w:val="22"/>
          <w:szCs w:val="22"/>
        </w:rPr>
      </w:pPr>
      <w:r w:rsidRPr="00F072E2">
        <w:rPr>
          <w:rFonts w:cstheme="minorHAnsi"/>
          <w:sz w:val="22"/>
          <w:szCs w:val="22"/>
        </w:rPr>
        <w:t>7.2 Supervisión y aprobación de productos</w:t>
      </w:r>
    </w:p>
    <w:p w14:paraId="02EA52BD"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consultoría trabajará bajo la supervisión directa de Expertise France y en estrecha coordinación con FONAFIFO/MINAE. Se conformará un grupo técnico de supervisión integrado por: punto focal de Expertise France, equipo focal de FONAFIFO y representación institucional pertinente de MINAE y otras entidades convocadas según tema. Los productos se entregarán digitalmente, serán devueltos con comentarios en un plazo máximo de 10 días hábiles y aprobados formalmente.</w:t>
      </w:r>
    </w:p>
    <w:p w14:paraId="7274CBCA" w14:textId="77777777" w:rsidR="00567CAF" w:rsidRPr="00F072E2" w:rsidRDefault="00567CAF" w:rsidP="00F072E2">
      <w:pPr>
        <w:spacing w:after="80"/>
        <w:jc w:val="both"/>
        <w:rPr>
          <w:rFonts w:asciiTheme="minorHAnsi" w:hAnsiTheme="minorHAnsi" w:cstheme="minorHAnsi"/>
          <w:sz w:val="22"/>
          <w:szCs w:val="22"/>
        </w:rPr>
      </w:pPr>
    </w:p>
    <w:p w14:paraId="05BAE7E5" w14:textId="77777777" w:rsidR="00567CAF" w:rsidRPr="00F072E2" w:rsidRDefault="00D86CA1" w:rsidP="00F072E2">
      <w:pPr>
        <w:pStyle w:val="Ttulo2"/>
        <w:jc w:val="both"/>
        <w:rPr>
          <w:rFonts w:cstheme="minorHAnsi"/>
          <w:sz w:val="22"/>
          <w:szCs w:val="22"/>
        </w:rPr>
      </w:pPr>
      <w:r w:rsidRPr="00F072E2">
        <w:rPr>
          <w:rFonts w:cstheme="minorHAnsi"/>
          <w:sz w:val="22"/>
          <w:szCs w:val="22"/>
        </w:rPr>
        <w:t>7.3 Otras informaciones</w:t>
      </w:r>
    </w:p>
    <w:p w14:paraId="6E5EE8C5"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misión se desarrollará principalmente con trabajo remoto coordinado, con misiones presenciales en Costa Rica en los hitos de arranque, validación del diagnóstico, presentación de los productos financieros estructurados y cierre. Se espera disponibilidad para organizar y facilitar talleres participativos presenciales y virtuales. La documentación técnica se producirá en español; ciertos documentos de relacionamiento con financiadores internacionales podrán requerir versiones en inglés.</w:t>
      </w:r>
    </w:p>
    <w:p w14:paraId="4A14D0B1" w14:textId="77777777" w:rsidR="00567CAF" w:rsidRPr="00F072E2" w:rsidRDefault="00567CAF" w:rsidP="00F072E2">
      <w:pPr>
        <w:spacing w:after="80"/>
        <w:jc w:val="both"/>
        <w:rPr>
          <w:rFonts w:asciiTheme="minorHAnsi" w:hAnsiTheme="minorHAnsi" w:cstheme="minorHAnsi"/>
          <w:sz w:val="22"/>
          <w:szCs w:val="22"/>
        </w:rPr>
      </w:pPr>
    </w:p>
    <w:p w14:paraId="1B96EB59"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8. CALIFICACIONES Y EXPERIENCIAS REQUERIDAS</w:t>
      </w:r>
    </w:p>
    <w:p w14:paraId="07CF6F08" w14:textId="7DD43117" w:rsidR="00567CAF" w:rsidRPr="00F072E2" w:rsidRDefault="00D86CA1" w:rsidP="00F072E2">
      <w:pPr>
        <w:pStyle w:val="Ttulo2"/>
        <w:jc w:val="both"/>
        <w:rPr>
          <w:rFonts w:cstheme="minorHAnsi"/>
          <w:sz w:val="22"/>
          <w:szCs w:val="22"/>
        </w:rPr>
      </w:pPr>
      <w:r w:rsidRPr="00F072E2">
        <w:rPr>
          <w:rFonts w:cstheme="minorHAnsi"/>
          <w:sz w:val="22"/>
          <w:szCs w:val="22"/>
        </w:rPr>
        <w:t>8.1 Experiencia de</w:t>
      </w:r>
      <w:r w:rsidR="005262E7">
        <w:rPr>
          <w:rFonts w:cstheme="minorHAnsi"/>
          <w:sz w:val="22"/>
          <w:szCs w:val="22"/>
        </w:rPr>
        <w:t xml:space="preserve">l equipo </w:t>
      </w:r>
      <w:r w:rsidRPr="00F072E2">
        <w:rPr>
          <w:rFonts w:cstheme="minorHAnsi"/>
          <w:sz w:val="22"/>
          <w:szCs w:val="22"/>
        </w:rPr>
        <w:t>consultor</w:t>
      </w:r>
    </w:p>
    <w:p w14:paraId="3BE33423" w14:textId="63F480F0" w:rsidR="00567CAF" w:rsidRDefault="005262E7" w:rsidP="00F072E2">
      <w:pPr>
        <w:spacing w:before="80" w:after="100"/>
        <w:jc w:val="both"/>
        <w:rPr>
          <w:rFonts w:asciiTheme="minorHAnsi" w:hAnsiTheme="minorHAnsi" w:cstheme="minorHAnsi"/>
          <w:sz w:val="22"/>
          <w:szCs w:val="22"/>
        </w:rPr>
      </w:pPr>
      <w:r>
        <w:rPr>
          <w:rFonts w:asciiTheme="minorHAnsi" w:hAnsiTheme="minorHAnsi" w:cstheme="minorHAnsi"/>
          <w:sz w:val="22"/>
          <w:szCs w:val="22"/>
        </w:rPr>
        <w:t xml:space="preserve">El equipo </w:t>
      </w:r>
      <w:r w:rsidR="00D86CA1" w:rsidRPr="00F072E2">
        <w:rPr>
          <w:rFonts w:asciiTheme="minorHAnsi" w:hAnsiTheme="minorHAnsi" w:cstheme="minorHAnsi"/>
          <w:sz w:val="22"/>
          <w:szCs w:val="22"/>
        </w:rPr>
        <w:t xml:space="preserve">consultor deberá demostrar capacidad técnica, financiera e institucional para estructurar instrumentos de financiamiento climático complejos, con especial énfasis en mecanismos basados en resultados, arquitectura financiera sostenible de largo plazo </w:t>
      </w:r>
      <w:r w:rsidR="00D86CA1" w:rsidRPr="00F072E2">
        <w:rPr>
          <w:rFonts w:asciiTheme="minorHAnsi" w:hAnsiTheme="minorHAnsi" w:cstheme="minorHAnsi"/>
          <w:b/>
          <w:bCs/>
          <w:sz w:val="22"/>
          <w:szCs w:val="22"/>
        </w:rPr>
        <w:t>y conocimiento de los instrumentos del Global Gateway de la Unión Europea</w:t>
      </w:r>
      <w:r w:rsidR="00D86CA1" w:rsidRPr="00F072E2">
        <w:rPr>
          <w:rFonts w:asciiTheme="minorHAnsi" w:hAnsiTheme="minorHAnsi" w:cstheme="minorHAnsi"/>
          <w:sz w:val="22"/>
          <w:szCs w:val="22"/>
        </w:rPr>
        <w:t xml:space="preserve">. Se requerirá acreditar, además de la experiencia general, </w:t>
      </w:r>
      <w:r w:rsidR="00D86CA1" w:rsidRPr="00F072E2">
        <w:rPr>
          <w:rFonts w:asciiTheme="minorHAnsi" w:hAnsiTheme="minorHAnsi" w:cstheme="minorHAnsi"/>
          <w:sz w:val="22"/>
          <w:szCs w:val="22"/>
        </w:rPr>
        <w:lastRenderedPageBreak/>
        <w:t>trabajos comparables, experiencia efectiva en diseño de instrumentos financieros -no solo en estudios- con su aterrizaje operativo correspondiente dando énfasis en la aplicación pragmática de los diseños financieros propuestos, trayectoria con sector público y cooperación internacional, y capacidad de asegurar trazabilidad y auditabilidad.</w:t>
      </w:r>
    </w:p>
    <w:p w14:paraId="4DC41BC3" w14:textId="77777777" w:rsidR="00A54031" w:rsidRDefault="00A54031" w:rsidP="00F072E2">
      <w:pPr>
        <w:spacing w:before="80" w:after="100"/>
        <w:jc w:val="both"/>
        <w:rPr>
          <w:rFonts w:asciiTheme="minorHAnsi" w:hAnsiTheme="minorHAnsi" w:cstheme="minorHAnsi"/>
          <w:sz w:val="22"/>
          <w:szCs w:val="22"/>
        </w:rPr>
      </w:pPr>
    </w:p>
    <w:p w14:paraId="63420CD9" w14:textId="3BFB8730" w:rsidR="00A54031" w:rsidRPr="00F072E2" w:rsidRDefault="00A54031" w:rsidP="00F072E2">
      <w:pPr>
        <w:spacing w:before="80" w:after="100"/>
        <w:jc w:val="both"/>
        <w:rPr>
          <w:rFonts w:asciiTheme="minorHAnsi" w:hAnsiTheme="minorHAnsi" w:cstheme="minorHAnsi"/>
          <w:sz w:val="22"/>
          <w:szCs w:val="22"/>
        </w:rPr>
      </w:pPr>
      <w:r w:rsidRPr="00A54031">
        <w:rPr>
          <w:rFonts w:asciiTheme="minorHAnsi" w:hAnsiTheme="minorHAnsi" w:cstheme="minorHAnsi"/>
          <w:sz w:val="22"/>
          <w:szCs w:val="22"/>
        </w:rPr>
        <w:t>El cumplimiento de los siguientes requisitos es obligatorio</w:t>
      </w:r>
      <w:r>
        <w:rPr>
          <w:rFonts w:asciiTheme="minorHAnsi" w:hAnsiTheme="minorHAnsi" w:cstheme="minorHAnsi"/>
          <w:sz w:val="22"/>
          <w:szCs w:val="22"/>
        </w:rPr>
        <w:t>:</w:t>
      </w:r>
    </w:p>
    <w:p w14:paraId="1653FF54" w14:textId="77777777" w:rsidR="00567CAF" w:rsidRPr="00F072E2" w:rsidRDefault="00567CAF" w:rsidP="00F072E2">
      <w:pPr>
        <w:spacing w:after="80"/>
        <w:jc w:val="both"/>
        <w:rPr>
          <w:rFonts w:asciiTheme="minorHAnsi" w:hAnsiTheme="minorHAnsi" w:cstheme="minorHAnsi"/>
          <w:sz w:val="22"/>
          <w:szCs w:val="22"/>
        </w:rPr>
      </w:pPr>
    </w:p>
    <w:p w14:paraId="2F770079"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Experiencia en financiamiento climático, finanzas sostenibles o instrumentos económicos ambientales.</w:t>
      </w:r>
    </w:p>
    <w:p w14:paraId="0359FC53"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Experiencia comprobada en al menos tres (3) proyectos internacionales de complejidad comparable.</w:t>
      </w:r>
    </w:p>
    <w:p w14:paraId="2E31B1E1"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Experiencia de trabajo con gobiernos nacionales o ministerios sectoriales y con organismos multilaterales o de cooperación bilateral.</w:t>
      </w:r>
    </w:p>
    <w:p w14:paraId="4381C148" w14:textId="25A8F35F"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Experiencia específica en estructuración con dimensión operativa para su implementación de instrumentos PSA/PES, </w:t>
      </w:r>
      <w:proofErr w:type="spellStart"/>
      <w:r w:rsidRPr="00F072E2">
        <w:rPr>
          <w:rFonts w:asciiTheme="minorHAnsi" w:hAnsiTheme="minorHAnsi" w:cstheme="minorHAnsi"/>
          <w:i/>
          <w:lang w:val="es-CO"/>
        </w:rPr>
        <w:t>blended</w:t>
      </w:r>
      <w:proofErr w:type="spellEnd"/>
      <w:r w:rsidRPr="00F072E2">
        <w:rPr>
          <w:rFonts w:asciiTheme="minorHAnsi" w:hAnsiTheme="minorHAnsi" w:cstheme="minorHAnsi"/>
          <w:i/>
          <w:lang w:val="es-CO"/>
        </w:rPr>
        <w:t xml:space="preserve"> </w:t>
      </w:r>
      <w:proofErr w:type="spellStart"/>
      <w:r w:rsidRPr="00F072E2">
        <w:rPr>
          <w:rFonts w:asciiTheme="minorHAnsi" w:hAnsiTheme="minorHAnsi" w:cstheme="minorHAnsi"/>
          <w:i/>
          <w:lang w:val="es-CO"/>
        </w:rPr>
        <w:t>finance</w:t>
      </w:r>
      <w:proofErr w:type="spellEnd"/>
      <w:r w:rsidRPr="00F072E2">
        <w:rPr>
          <w:rFonts w:asciiTheme="minorHAnsi" w:hAnsiTheme="minorHAnsi" w:cstheme="minorHAnsi"/>
          <w:lang w:val="es-CO"/>
        </w:rPr>
        <w:t>, fondos patrimoniales (</w:t>
      </w:r>
      <w:r w:rsidRPr="00F072E2">
        <w:rPr>
          <w:rFonts w:asciiTheme="minorHAnsi" w:hAnsiTheme="minorHAnsi" w:cstheme="minorHAnsi"/>
          <w:i/>
          <w:lang w:val="es-CO"/>
        </w:rPr>
        <w:t xml:space="preserve">trust </w:t>
      </w:r>
      <w:proofErr w:type="spellStart"/>
      <w:r w:rsidRPr="00F072E2">
        <w:rPr>
          <w:rFonts w:asciiTheme="minorHAnsi" w:hAnsiTheme="minorHAnsi" w:cstheme="minorHAnsi"/>
          <w:i/>
          <w:lang w:val="es-CO"/>
        </w:rPr>
        <w:t>funds</w:t>
      </w:r>
      <w:proofErr w:type="spellEnd"/>
      <w:r w:rsidRPr="00F072E2">
        <w:rPr>
          <w:rFonts w:asciiTheme="minorHAnsi" w:hAnsiTheme="minorHAnsi" w:cstheme="minorHAnsi"/>
          <w:lang w:val="es-CO"/>
        </w:rPr>
        <w:t>) o bonos temáticos verdes o azules.</w:t>
      </w:r>
    </w:p>
    <w:p w14:paraId="63E0B801" w14:textId="77777777" w:rsidR="00567CAF" w:rsidRPr="00F072E2" w:rsidRDefault="00567CAF" w:rsidP="00F072E2">
      <w:pPr>
        <w:spacing w:after="80"/>
        <w:jc w:val="both"/>
        <w:rPr>
          <w:rFonts w:asciiTheme="minorHAnsi" w:hAnsiTheme="minorHAnsi" w:cstheme="minorHAnsi"/>
          <w:sz w:val="22"/>
          <w:szCs w:val="22"/>
        </w:rPr>
      </w:pPr>
    </w:p>
    <w:p w14:paraId="3EFFD7D4" w14:textId="360367BB" w:rsidR="00567CAF" w:rsidRPr="00F072E2" w:rsidRDefault="00CD21C0" w:rsidP="00F072E2">
      <w:pPr>
        <w:spacing w:before="80" w:after="100"/>
        <w:jc w:val="both"/>
        <w:rPr>
          <w:rFonts w:asciiTheme="minorHAnsi" w:hAnsiTheme="minorHAnsi" w:cstheme="minorHAnsi"/>
          <w:sz w:val="22"/>
          <w:szCs w:val="22"/>
        </w:rPr>
      </w:pPr>
      <w:r>
        <w:rPr>
          <w:rFonts w:asciiTheme="minorHAnsi" w:hAnsiTheme="minorHAnsi" w:cstheme="minorHAnsi"/>
          <w:sz w:val="22"/>
          <w:szCs w:val="22"/>
        </w:rPr>
        <w:t xml:space="preserve">El proponente </w:t>
      </w:r>
      <w:r w:rsidR="00D86CA1" w:rsidRPr="00F072E2">
        <w:rPr>
          <w:rFonts w:asciiTheme="minorHAnsi" w:hAnsiTheme="minorHAnsi" w:cstheme="minorHAnsi"/>
          <w:sz w:val="22"/>
          <w:szCs w:val="22"/>
        </w:rPr>
        <w:t>deberá presentar una tabla resumen de proyectos relevantes con: cliente, monto aproximado gestionado, duración, alcance técnico, rol desempeñado y resultados alcanzados.</w:t>
      </w:r>
    </w:p>
    <w:p w14:paraId="7807B535" w14:textId="77777777" w:rsidR="00567CAF" w:rsidRPr="00F072E2" w:rsidRDefault="00567CAF" w:rsidP="00F072E2">
      <w:pPr>
        <w:spacing w:after="80"/>
        <w:jc w:val="both"/>
        <w:rPr>
          <w:rFonts w:asciiTheme="minorHAnsi" w:hAnsiTheme="minorHAnsi" w:cstheme="minorHAnsi"/>
          <w:sz w:val="22"/>
          <w:szCs w:val="22"/>
        </w:rPr>
      </w:pPr>
    </w:p>
    <w:p w14:paraId="5ABFA03F" w14:textId="77777777" w:rsidR="00567CAF" w:rsidRPr="00F072E2" w:rsidRDefault="00D86CA1" w:rsidP="00F072E2">
      <w:pPr>
        <w:pStyle w:val="Ttulo2"/>
        <w:jc w:val="both"/>
        <w:rPr>
          <w:rFonts w:cstheme="minorHAnsi"/>
          <w:sz w:val="22"/>
          <w:szCs w:val="22"/>
        </w:rPr>
      </w:pPr>
      <w:r w:rsidRPr="00F072E2">
        <w:rPr>
          <w:rFonts w:cstheme="minorHAnsi"/>
          <w:sz w:val="22"/>
          <w:szCs w:val="22"/>
        </w:rPr>
        <w:t>8.2 Perfiles del equipo de trabajo</w:t>
      </w:r>
    </w:p>
    <w:p w14:paraId="0473839B"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 equipo deberá presentarse por roles y funciones, demostrando que cuenta con la combinación mínima de competencias requeridas. Un mismo experto podrá cubrir más de un rol siempre que la propuesta justifique dicha acumulación y acredite la experiencia específica correspondiente.</w:t>
      </w:r>
    </w:p>
    <w:p w14:paraId="5E8C884E" w14:textId="77777777" w:rsidR="00567CAF" w:rsidRPr="00F072E2" w:rsidRDefault="00567CAF" w:rsidP="00F072E2">
      <w:pPr>
        <w:spacing w:after="80"/>
        <w:jc w:val="both"/>
        <w:rPr>
          <w:rFonts w:asciiTheme="minorHAnsi" w:hAnsiTheme="minorHAnsi" w:cstheme="minorHAnsi"/>
          <w:sz w:val="22"/>
          <w:szCs w:val="22"/>
        </w:rPr>
      </w:pPr>
    </w:p>
    <w:p w14:paraId="5055FE9D" w14:textId="3EBE4C93"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El equipo deberá presentar una composición multidisciplinaria que refleje la complejidad técnica del PSA 2.0, integrando experticia financiera, ambiental, legal y de gobernanza. El equipo deberá demostrar capacidad de producir plantillas, hojas de ruta y paquetes operativos listos para implementación, no solo documentos de diagnóstico. Se exige un equipo núcleo mínimo obligatorio:</w:t>
      </w:r>
    </w:p>
    <w:p w14:paraId="0E15A48E" w14:textId="77777777" w:rsidR="00567CAF" w:rsidRPr="00F072E2" w:rsidRDefault="00567CAF" w:rsidP="00F072E2">
      <w:pPr>
        <w:spacing w:after="80"/>
        <w:jc w:val="both"/>
        <w:rPr>
          <w:rFonts w:asciiTheme="minorHAnsi" w:hAnsiTheme="minorHAnsi" w:cstheme="minorHAnsi"/>
          <w:sz w:val="22"/>
          <w:szCs w:val="22"/>
        </w:rPr>
      </w:pPr>
    </w:p>
    <w:p w14:paraId="6F56950E" w14:textId="4D0CFFD4"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1. Coordin</w:t>
      </w:r>
      <w:r w:rsidR="0086507D">
        <w:rPr>
          <w:rFonts w:asciiTheme="minorHAnsi" w:hAnsiTheme="minorHAnsi" w:cstheme="minorHAnsi"/>
          <w:b/>
          <w:bCs/>
          <w:sz w:val="22"/>
          <w:szCs w:val="22"/>
        </w:rPr>
        <w:t xml:space="preserve">ación / Líder de equipo </w:t>
      </w:r>
    </w:p>
    <w:p w14:paraId="67A12023" w14:textId="501DF940" w:rsidR="00567CAF" w:rsidRPr="00F072E2" w:rsidRDefault="0086507D" w:rsidP="00F072E2">
      <w:pPr>
        <w:pStyle w:val="Prrafodelista"/>
        <w:numPr>
          <w:ilvl w:val="0"/>
          <w:numId w:val="2"/>
        </w:numPr>
        <w:spacing w:before="40" w:after="60"/>
        <w:jc w:val="both"/>
        <w:rPr>
          <w:rFonts w:asciiTheme="minorHAnsi" w:hAnsiTheme="minorHAnsi" w:cstheme="minorHAnsi"/>
          <w:lang w:val="es-CO"/>
        </w:rPr>
      </w:pPr>
      <w:r>
        <w:rPr>
          <w:rFonts w:asciiTheme="minorHAnsi" w:hAnsiTheme="minorHAnsi" w:cstheme="minorHAnsi"/>
          <w:lang w:val="es-CO"/>
        </w:rPr>
        <w:t>Experiencia mínima: 6–8</w:t>
      </w:r>
      <w:r w:rsidR="00D86CA1" w:rsidRPr="00F072E2">
        <w:rPr>
          <w:rFonts w:asciiTheme="minorHAnsi" w:hAnsiTheme="minorHAnsi" w:cstheme="minorHAnsi"/>
          <w:lang w:val="es-CO"/>
        </w:rPr>
        <w:t xml:space="preserve"> años de experiencia profesional, con trayectoria comprobada en gestión de proyectos de cooperación y conducción metodológica de consultorías complejas.</w:t>
      </w:r>
    </w:p>
    <w:p w14:paraId="2B5AC7D7"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Experiencia demostrable en coordinación de equipos multidisciplinarios, relación con contrapartes institucionales y aseguramiento de la calidad de los productos.</w:t>
      </w:r>
    </w:p>
    <w:p w14:paraId="79D83878" w14:textId="5F4433D7" w:rsidR="00064EB4" w:rsidRPr="00F072E2" w:rsidRDefault="00064EB4"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Experiencia en diseño, implementación y evaluación de planes de fortalecimiento de capacidades (individuales, profesionales y colectivas a nivel institucional) con enfoque pedagógico adecuado.</w:t>
      </w:r>
    </w:p>
    <w:p w14:paraId="54B156E0" w14:textId="2696F349" w:rsidR="00567CAF"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Competencias clave: conducción estratégica, integración técnica de entregables, gestión de riesgos, pragmatismo operacional y alta capacidad de redacción técnica.</w:t>
      </w:r>
    </w:p>
    <w:p w14:paraId="06380EA2" w14:textId="77777777" w:rsidR="00FE5812" w:rsidRPr="00F072E2" w:rsidRDefault="00FE5812" w:rsidP="00FE5812">
      <w:pPr>
        <w:pStyle w:val="Prrafodelista"/>
        <w:spacing w:before="40" w:after="60"/>
        <w:jc w:val="both"/>
        <w:rPr>
          <w:rFonts w:asciiTheme="minorHAnsi" w:hAnsiTheme="minorHAnsi" w:cstheme="minorHAnsi"/>
          <w:lang w:val="es-CO"/>
        </w:rPr>
      </w:pPr>
    </w:p>
    <w:p w14:paraId="325EAC10" w14:textId="77777777" w:rsidR="00567CAF" w:rsidRPr="00F072E2" w:rsidRDefault="00567CAF" w:rsidP="00F072E2">
      <w:pPr>
        <w:spacing w:after="80"/>
        <w:jc w:val="both"/>
        <w:rPr>
          <w:rFonts w:asciiTheme="minorHAnsi" w:hAnsiTheme="minorHAnsi" w:cstheme="minorHAnsi"/>
          <w:sz w:val="22"/>
          <w:szCs w:val="22"/>
        </w:rPr>
      </w:pPr>
    </w:p>
    <w:p w14:paraId="74FBAFBC" w14:textId="47ED89C2"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lastRenderedPageBreak/>
        <w:t>2. Especialista en finanzas sostenibles / finan</w:t>
      </w:r>
      <w:r w:rsidR="0086507D">
        <w:rPr>
          <w:rFonts w:asciiTheme="minorHAnsi" w:hAnsiTheme="minorHAnsi" w:cstheme="minorHAnsi"/>
          <w:b/>
          <w:bCs/>
          <w:sz w:val="22"/>
          <w:szCs w:val="22"/>
        </w:rPr>
        <w:t xml:space="preserve">ciamiento internacional </w:t>
      </w:r>
    </w:p>
    <w:p w14:paraId="7691BBE6" w14:textId="4345608B" w:rsidR="00567CAF" w:rsidRPr="00F072E2" w:rsidRDefault="0086507D" w:rsidP="00F072E2">
      <w:pPr>
        <w:pStyle w:val="Prrafodelista"/>
        <w:numPr>
          <w:ilvl w:val="0"/>
          <w:numId w:val="2"/>
        </w:numPr>
        <w:spacing w:before="40" w:after="60"/>
        <w:jc w:val="both"/>
        <w:rPr>
          <w:rFonts w:asciiTheme="minorHAnsi" w:hAnsiTheme="minorHAnsi" w:cstheme="minorHAnsi"/>
          <w:lang w:val="es-CO"/>
        </w:rPr>
      </w:pPr>
      <w:r>
        <w:rPr>
          <w:rFonts w:asciiTheme="minorHAnsi" w:hAnsiTheme="minorHAnsi" w:cstheme="minorHAnsi"/>
          <w:lang w:val="es-CO"/>
        </w:rPr>
        <w:t>Experiencia mínima: 5–7</w:t>
      </w:r>
      <w:r w:rsidR="00D86CA1" w:rsidRPr="00F072E2">
        <w:rPr>
          <w:rFonts w:asciiTheme="minorHAnsi" w:hAnsiTheme="minorHAnsi" w:cstheme="minorHAnsi"/>
          <w:lang w:val="es-CO"/>
        </w:rPr>
        <w:t xml:space="preserve"> años en </w:t>
      </w:r>
      <w:proofErr w:type="spellStart"/>
      <w:r w:rsidR="00D86CA1" w:rsidRPr="00F072E2">
        <w:rPr>
          <w:rFonts w:asciiTheme="minorHAnsi" w:hAnsiTheme="minorHAnsi" w:cstheme="minorHAnsi"/>
          <w:i/>
          <w:lang w:val="es-CO"/>
        </w:rPr>
        <w:t>blended</w:t>
      </w:r>
      <w:proofErr w:type="spellEnd"/>
      <w:r w:rsidR="00D86CA1" w:rsidRPr="00F072E2">
        <w:rPr>
          <w:rFonts w:asciiTheme="minorHAnsi" w:hAnsiTheme="minorHAnsi" w:cstheme="minorHAnsi"/>
          <w:i/>
          <w:lang w:val="es-CO"/>
        </w:rPr>
        <w:t xml:space="preserve"> </w:t>
      </w:r>
      <w:proofErr w:type="spellStart"/>
      <w:r w:rsidR="00D86CA1" w:rsidRPr="00F072E2">
        <w:rPr>
          <w:rFonts w:asciiTheme="minorHAnsi" w:hAnsiTheme="minorHAnsi" w:cstheme="minorHAnsi"/>
          <w:i/>
          <w:lang w:val="es-CO"/>
        </w:rPr>
        <w:t>finance</w:t>
      </w:r>
      <w:proofErr w:type="spellEnd"/>
      <w:r w:rsidR="00D86CA1" w:rsidRPr="00F072E2">
        <w:rPr>
          <w:rFonts w:asciiTheme="minorHAnsi" w:hAnsiTheme="minorHAnsi" w:cstheme="minorHAnsi"/>
          <w:lang w:val="es-CO"/>
        </w:rPr>
        <w:t>, fondos climáticos, bonos temáticos o mecanismos basados en resultados, con participación directa en estructuración de instrumentos.</w:t>
      </w:r>
    </w:p>
    <w:p w14:paraId="4FE26974"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Conocimiento de requisitos fiduciarios, gobernanza financiera, elegibilidad y rutas de acceso a financiamiento multilateral o bilateral.</w:t>
      </w:r>
    </w:p>
    <w:p w14:paraId="57499504" w14:textId="757509C4" w:rsidR="00064EB4" w:rsidRPr="00F072E2" w:rsidRDefault="00064EB4"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Capacidad pedagógica demostrada para intervenir como especialista en sesiones </w:t>
      </w:r>
      <w:r w:rsidRPr="00F072E2">
        <w:rPr>
          <w:rFonts w:asciiTheme="minorHAnsi" w:hAnsiTheme="minorHAnsi" w:cstheme="minorHAnsi"/>
          <w:lang w:val="es-ES"/>
        </w:rPr>
        <w:t>de fortalecimiento de capacidades.</w:t>
      </w:r>
    </w:p>
    <w:p w14:paraId="3BF46D91" w14:textId="77777777" w:rsidR="00567CAF" w:rsidRPr="00F072E2" w:rsidRDefault="00567CAF" w:rsidP="00F072E2">
      <w:pPr>
        <w:spacing w:after="80"/>
        <w:jc w:val="both"/>
        <w:rPr>
          <w:rFonts w:asciiTheme="minorHAnsi" w:hAnsiTheme="minorHAnsi" w:cstheme="minorHAnsi"/>
          <w:sz w:val="22"/>
          <w:szCs w:val="22"/>
        </w:rPr>
      </w:pPr>
    </w:p>
    <w:p w14:paraId="2B1C3921"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3. Especialista en PSA / PES y política pública (Senior)</w:t>
      </w:r>
    </w:p>
    <w:p w14:paraId="74C87E94" w14:textId="7F16C12C" w:rsidR="00567CAF" w:rsidRPr="00F072E2" w:rsidRDefault="0086507D" w:rsidP="00F072E2">
      <w:pPr>
        <w:pStyle w:val="Prrafodelista"/>
        <w:numPr>
          <w:ilvl w:val="0"/>
          <w:numId w:val="2"/>
        </w:numPr>
        <w:spacing w:before="40" w:after="60"/>
        <w:jc w:val="both"/>
        <w:rPr>
          <w:rFonts w:asciiTheme="minorHAnsi" w:hAnsiTheme="minorHAnsi" w:cstheme="minorHAnsi"/>
          <w:lang w:val="es-CO"/>
        </w:rPr>
      </w:pPr>
      <w:r>
        <w:rPr>
          <w:rFonts w:asciiTheme="minorHAnsi" w:hAnsiTheme="minorHAnsi" w:cstheme="minorHAnsi"/>
          <w:lang w:val="es-CO"/>
        </w:rPr>
        <w:t>Experiencia mínima: 5–7</w:t>
      </w:r>
      <w:r w:rsidR="00D86CA1" w:rsidRPr="00F072E2">
        <w:rPr>
          <w:rFonts w:asciiTheme="minorHAnsi" w:hAnsiTheme="minorHAnsi" w:cstheme="minorHAnsi"/>
          <w:lang w:val="es-CO"/>
        </w:rPr>
        <w:t xml:space="preserve"> años en </w:t>
      </w:r>
      <w:proofErr w:type="spellStart"/>
      <w:proofErr w:type="gramStart"/>
      <w:r w:rsidR="00D86CA1" w:rsidRPr="00F072E2">
        <w:rPr>
          <w:rFonts w:asciiTheme="minorHAnsi" w:hAnsiTheme="minorHAnsi" w:cstheme="minorHAnsi"/>
          <w:lang w:val="es-CO"/>
        </w:rPr>
        <w:t>diseño,operación</w:t>
      </w:r>
      <w:proofErr w:type="spellEnd"/>
      <w:proofErr w:type="gramEnd"/>
      <w:r w:rsidR="00D86CA1" w:rsidRPr="00F072E2">
        <w:rPr>
          <w:rFonts w:asciiTheme="minorHAnsi" w:hAnsiTheme="minorHAnsi" w:cstheme="minorHAnsi"/>
          <w:lang w:val="es-CO"/>
        </w:rPr>
        <w:t xml:space="preserve"> u evaluación de esquemas PSA/PES, con conocimiento probado del PSA de Costa Rica, su institucionalidad y sus marcos legales y operativos.</w:t>
      </w:r>
    </w:p>
    <w:p w14:paraId="4AACDA91" w14:textId="70FDFB71"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Se valorará experiencia en modalidades foresta</w:t>
      </w:r>
      <w:r w:rsidRPr="00F072E2">
        <w:rPr>
          <w:rFonts w:asciiTheme="minorHAnsi" w:hAnsiTheme="minorHAnsi" w:cstheme="minorHAnsi"/>
          <w:lang w:val="es-CO"/>
        </w:rPr>
        <w:tab/>
        <w:t>les, agropecuarias o marino-costeras y capacidad para traducir lineamientos de política pública en instrumentos operativos.</w:t>
      </w:r>
    </w:p>
    <w:p w14:paraId="6466EF6C" w14:textId="73F14394" w:rsidR="00064EB4" w:rsidRPr="00F072E2" w:rsidRDefault="00064EB4"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Capacidad pedagógica demostrada para intervenir como especialista en sesiones </w:t>
      </w:r>
      <w:r w:rsidRPr="00F072E2">
        <w:rPr>
          <w:rFonts w:asciiTheme="minorHAnsi" w:hAnsiTheme="minorHAnsi" w:cstheme="minorHAnsi"/>
          <w:lang w:val="es-ES"/>
        </w:rPr>
        <w:t>de fortalecimiento de capacidades</w:t>
      </w:r>
    </w:p>
    <w:p w14:paraId="6449CE9B" w14:textId="77777777" w:rsidR="00567CAF" w:rsidRPr="00F072E2" w:rsidRDefault="00567CAF" w:rsidP="00F072E2">
      <w:pPr>
        <w:spacing w:after="80"/>
        <w:jc w:val="both"/>
        <w:rPr>
          <w:rFonts w:asciiTheme="minorHAnsi" w:hAnsiTheme="minorHAnsi" w:cstheme="minorHAnsi"/>
          <w:sz w:val="22"/>
          <w:szCs w:val="22"/>
        </w:rPr>
      </w:pPr>
    </w:p>
    <w:p w14:paraId="7E87F9A7"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4. Especialista económico-financiero (modelación)</w:t>
      </w:r>
    </w:p>
    <w:p w14:paraId="41818AB5" w14:textId="69D0E851"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Experiencia mínima: </w:t>
      </w:r>
      <w:r w:rsidR="0086507D">
        <w:rPr>
          <w:rFonts w:asciiTheme="minorHAnsi" w:hAnsiTheme="minorHAnsi" w:cstheme="minorHAnsi"/>
          <w:lang w:val="es-CO"/>
        </w:rPr>
        <w:t>4</w:t>
      </w:r>
      <w:r w:rsidRPr="00F072E2">
        <w:rPr>
          <w:rFonts w:asciiTheme="minorHAnsi" w:hAnsiTheme="minorHAnsi" w:cstheme="minorHAnsi"/>
          <w:lang w:val="es-CO"/>
        </w:rPr>
        <w:t>–</w:t>
      </w:r>
      <w:r w:rsidR="0086507D">
        <w:rPr>
          <w:rFonts w:asciiTheme="minorHAnsi" w:hAnsiTheme="minorHAnsi" w:cstheme="minorHAnsi"/>
          <w:lang w:val="es-CO"/>
        </w:rPr>
        <w:t>7</w:t>
      </w:r>
      <w:r w:rsidRPr="00F072E2">
        <w:rPr>
          <w:rFonts w:asciiTheme="minorHAnsi" w:hAnsiTheme="minorHAnsi" w:cstheme="minorHAnsi"/>
          <w:lang w:val="es-CO"/>
        </w:rPr>
        <w:t xml:space="preserve"> años en modelos de costo, flujos financieros, escenarios y sostenibilidad financiera de instrumentos o programas públicos.</w:t>
      </w:r>
    </w:p>
    <w:p w14:paraId="21B31227"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Capacidad para desarrollar supuestos, costeo, sensibilidad y análisis comparado que respalden la toma de decisiones.</w:t>
      </w:r>
    </w:p>
    <w:p w14:paraId="147A022B" w14:textId="12CDD218" w:rsidR="00064EB4" w:rsidRPr="00F072E2" w:rsidRDefault="00064EB4"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Capacidad pedagógica demostrada para intervenir como especialista en sesiones </w:t>
      </w:r>
      <w:r w:rsidRPr="00F072E2">
        <w:rPr>
          <w:rFonts w:asciiTheme="minorHAnsi" w:hAnsiTheme="minorHAnsi" w:cstheme="minorHAnsi"/>
          <w:lang w:val="es-ES"/>
        </w:rPr>
        <w:t>de fortalecimiento de capacidades</w:t>
      </w:r>
    </w:p>
    <w:p w14:paraId="6DCC382F" w14:textId="77777777" w:rsidR="00567CAF" w:rsidRPr="00F072E2" w:rsidRDefault="00567CAF" w:rsidP="00F072E2">
      <w:pPr>
        <w:spacing w:after="80"/>
        <w:jc w:val="both"/>
        <w:rPr>
          <w:rFonts w:asciiTheme="minorHAnsi" w:hAnsiTheme="minorHAnsi" w:cstheme="minorHAnsi"/>
          <w:sz w:val="22"/>
          <w:szCs w:val="22"/>
        </w:rPr>
      </w:pPr>
    </w:p>
    <w:p w14:paraId="4E9450FE"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5. Especialista legal, regulatorio y fiduciario</w:t>
      </w:r>
    </w:p>
    <w:p w14:paraId="2AF40C19" w14:textId="38568B2C"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Experiencia mínima: </w:t>
      </w:r>
      <w:r w:rsidR="0086507D">
        <w:rPr>
          <w:rFonts w:asciiTheme="minorHAnsi" w:hAnsiTheme="minorHAnsi" w:cstheme="minorHAnsi"/>
          <w:lang w:val="es-CO"/>
        </w:rPr>
        <w:t>5</w:t>
      </w:r>
      <w:r w:rsidRPr="00F072E2">
        <w:rPr>
          <w:rFonts w:asciiTheme="minorHAnsi" w:hAnsiTheme="minorHAnsi" w:cstheme="minorHAnsi"/>
          <w:lang w:val="es-CO"/>
        </w:rPr>
        <w:t>–</w:t>
      </w:r>
      <w:r w:rsidR="0086507D">
        <w:rPr>
          <w:rFonts w:asciiTheme="minorHAnsi" w:hAnsiTheme="minorHAnsi" w:cstheme="minorHAnsi"/>
          <w:lang w:val="es-CO"/>
        </w:rPr>
        <w:t>8</w:t>
      </w:r>
      <w:r w:rsidRPr="00F072E2">
        <w:rPr>
          <w:rFonts w:asciiTheme="minorHAnsi" w:hAnsiTheme="minorHAnsi" w:cstheme="minorHAnsi"/>
          <w:lang w:val="es-CO"/>
        </w:rPr>
        <w:t xml:space="preserve"> años en análisis de compatibilidad normativa, contratación pública, instrumentos financieros o fideicomisos y cumplimiento fiduciario.</w:t>
      </w:r>
    </w:p>
    <w:p w14:paraId="6F80DD2B"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Experiencia en estructuración de gobernanza institucional, trazabilidad y revisión de riesgos legales o fiduciarios.</w:t>
      </w:r>
    </w:p>
    <w:p w14:paraId="47F4D00D" w14:textId="09BAB136" w:rsidR="00064EB4" w:rsidRPr="00F072E2" w:rsidRDefault="00064EB4"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Capacidad pedagógica demostrada para intervenir como especialista en sesiones </w:t>
      </w:r>
      <w:r w:rsidRPr="00F072E2">
        <w:rPr>
          <w:rFonts w:asciiTheme="minorHAnsi" w:hAnsiTheme="minorHAnsi" w:cstheme="minorHAnsi"/>
          <w:lang w:val="es-ES"/>
        </w:rPr>
        <w:t>de fortalecimiento de capacidades</w:t>
      </w:r>
    </w:p>
    <w:p w14:paraId="3DB19C67" w14:textId="77777777" w:rsidR="00567CAF" w:rsidRPr="00F072E2" w:rsidRDefault="00567CAF" w:rsidP="00F072E2">
      <w:pPr>
        <w:spacing w:after="80"/>
        <w:jc w:val="both"/>
        <w:rPr>
          <w:rFonts w:asciiTheme="minorHAnsi" w:hAnsiTheme="minorHAnsi" w:cstheme="minorHAnsi"/>
          <w:sz w:val="22"/>
          <w:szCs w:val="22"/>
        </w:rPr>
      </w:pPr>
    </w:p>
    <w:p w14:paraId="61C9F6E7"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6. Especialista en salvaguardas / ESG / MRV</w:t>
      </w:r>
    </w:p>
    <w:p w14:paraId="1C11F3CE" w14:textId="0A31389D"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Experiencia mínima: </w:t>
      </w:r>
      <w:r w:rsidR="0086507D">
        <w:rPr>
          <w:rFonts w:asciiTheme="minorHAnsi" w:hAnsiTheme="minorHAnsi" w:cstheme="minorHAnsi"/>
          <w:lang w:val="es-CO"/>
        </w:rPr>
        <w:t>4</w:t>
      </w:r>
      <w:r w:rsidRPr="00F072E2">
        <w:rPr>
          <w:rFonts w:asciiTheme="minorHAnsi" w:hAnsiTheme="minorHAnsi" w:cstheme="minorHAnsi"/>
          <w:lang w:val="es-CO"/>
        </w:rPr>
        <w:t>–</w:t>
      </w:r>
      <w:r w:rsidR="0086507D">
        <w:rPr>
          <w:rFonts w:asciiTheme="minorHAnsi" w:hAnsiTheme="minorHAnsi" w:cstheme="minorHAnsi"/>
          <w:lang w:val="es-CO"/>
        </w:rPr>
        <w:t>7</w:t>
      </w:r>
      <w:r w:rsidRPr="00F072E2">
        <w:rPr>
          <w:rFonts w:asciiTheme="minorHAnsi" w:hAnsiTheme="minorHAnsi" w:cstheme="minorHAnsi"/>
          <w:lang w:val="es-CO"/>
        </w:rPr>
        <w:t xml:space="preserve"> años en criterios de integridad ambiental, riesgos, debida diligencia, indicadores, verificación y sistemas MRV.</w:t>
      </w:r>
    </w:p>
    <w:p w14:paraId="77C2F149"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Deberá demostrar capacidad para articular salvaguardas sociales y ambientales con requerimientos de trazabilidad y auditoría.</w:t>
      </w:r>
    </w:p>
    <w:p w14:paraId="30BF42D2" w14:textId="782A2E56" w:rsidR="00064EB4" w:rsidRPr="00F072E2" w:rsidRDefault="00064EB4"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Capacidad pedagógica demostrada para intervenir como especialista en sesiones </w:t>
      </w:r>
      <w:r w:rsidRPr="00F072E2">
        <w:rPr>
          <w:rFonts w:asciiTheme="minorHAnsi" w:hAnsiTheme="minorHAnsi" w:cstheme="minorHAnsi"/>
          <w:lang w:val="es-ES"/>
        </w:rPr>
        <w:t>de fortalecimiento de capacidades</w:t>
      </w:r>
    </w:p>
    <w:p w14:paraId="0CAF7A5B" w14:textId="77777777" w:rsidR="00567CAF" w:rsidRPr="00F072E2" w:rsidRDefault="00567CAF" w:rsidP="00F072E2">
      <w:pPr>
        <w:spacing w:after="80"/>
        <w:jc w:val="both"/>
        <w:rPr>
          <w:rFonts w:asciiTheme="minorHAnsi" w:hAnsiTheme="minorHAnsi" w:cstheme="minorHAnsi"/>
          <w:sz w:val="22"/>
          <w:szCs w:val="22"/>
        </w:rPr>
      </w:pPr>
    </w:p>
    <w:p w14:paraId="42F599D9"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7. Facilitación y participación / articulación interinstitucional</w:t>
      </w:r>
    </w:p>
    <w:p w14:paraId="631BFACA" w14:textId="559E21DF"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lastRenderedPageBreak/>
        <w:t xml:space="preserve">Experiencia mínima: </w:t>
      </w:r>
      <w:r w:rsidR="0086507D">
        <w:rPr>
          <w:rFonts w:asciiTheme="minorHAnsi" w:hAnsiTheme="minorHAnsi" w:cstheme="minorHAnsi"/>
          <w:lang w:val="es-CO"/>
        </w:rPr>
        <w:t>3–6</w:t>
      </w:r>
      <w:r w:rsidRPr="00F072E2">
        <w:rPr>
          <w:rFonts w:asciiTheme="minorHAnsi" w:hAnsiTheme="minorHAnsi" w:cstheme="minorHAnsi"/>
          <w:lang w:val="es-CO"/>
        </w:rPr>
        <w:t xml:space="preserve"> años en facilitación de talleres, sesiones de formación, moderación de grupo, sistematización, articulación territorial e interinstitucional y enfoque participativo; se valorará experiencia en contexto costarricense.</w:t>
      </w:r>
    </w:p>
    <w:p w14:paraId="5F222688" w14:textId="0EA0FC9F" w:rsidR="00567CAF" w:rsidRPr="00F072E2" w:rsidRDefault="0086507D" w:rsidP="00F072E2">
      <w:pPr>
        <w:spacing w:after="80"/>
        <w:jc w:val="both"/>
        <w:rPr>
          <w:rFonts w:asciiTheme="minorHAnsi" w:hAnsiTheme="minorHAnsi" w:cstheme="minorHAnsi"/>
          <w:sz w:val="22"/>
          <w:szCs w:val="22"/>
        </w:rPr>
      </w:pPr>
      <w:r>
        <w:rPr>
          <w:rFonts w:asciiTheme="minorHAnsi" w:hAnsiTheme="minorHAnsi" w:cstheme="minorHAnsi"/>
          <w:sz w:val="22"/>
          <w:szCs w:val="22"/>
        </w:rPr>
        <w:t>Estos perfiles no son excluyentes</w:t>
      </w:r>
      <w:r w:rsidR="00FB17EC">
        <w:rPr>
          <w:rFonts w:asciiTheme="minorHAnsi" w:hAnsiTheme="minorHAnsi" w:cstheme="minorHAnsi"/>
          <w:sz w:val="22"/>
          <w:szCs w:val="22"/>
        </w:rPr>
        <w:t xml:space="preserve">, una persona puede completar varios de estos requisitos, es importante señalar en la propuesta quién cumple con el perfil. </w:t>
      </w:r>
    </w:p>
    <w:p w14:paraId="3C2D2139" w14:textId="77777777" w:rsidR="00567CAF" w:rsidRPr="00F072E2" w:rsidRDefault="00D86CA1" w:rsidP="00F072E2">
      <w:pPr>
        <w:pStyle w:val="Ttulo2"/>
        <w:jc w:val="both"/>
        <w:rPr>
          <w:rFonts w:cstheme="minorHAnsi"/>
          <w:sz w:val="22"/>
          <w:szCs w:val="22"/>
        </w:rPr>
      </w:pPr>
      <w:r w:rsidRPr="00F072E2">
        <w:rPr>
          <w:rFonts w:cstheme="minorHAnsi"/>
          <w:sz w:val="22"/>
          <w:szCs w:val="22"/>
        </w:rPr>
        <w:t>8.3 Otros requisitos</w:t>
      </w:r>
    </w:p>
    <w:p w14:paraId="5F33E39E" w14:textId="6A77AE38" w:rsidR="00AA0060" w:rsidRPr="00715B05" w:rsidRDefault="00D86CA1" w:rsidP="00715B05">
      <w:pPr>
        <w:spacing w:before="40" w:after="60"/>
        <w:jc w:val="both"/>
        <w:rPr>
          <w:rFonts w:asciiTheme="minorHAnsi" w:eastAsia="Calibri" w:hAnsiTheme="minorHAnsi" w:cstheme="minorHAnsi"/>
          <w:sz w:val="22"/>
          <w:szCs w:val="22"/>
          <w:lang w:eastAsia="en-US"/>
        </w:rPr>
      </w:pPr>
      <w:r w:rsidRPr="00715B05">
        <w:rPr>
          <w:rFonts w:asciiTheme="minorHAnsi" w:eastAsia="Calibri" w:hAnsiTheme="minorHAnsi" w:cstheme="minorHAnsi"/>
          <w:sz w:val="22"/>
          <w:szCs w:val="22"/>
          <w:lang w:eastAsia="en-US"/>
        </w:rPr>
        <w:t>Se valorará positivamente</w:t>
      </w:r>
      <w:r w:rsidR="00715B05">
        <w:rPr>
          <w:rFonts w:asciiTheme="minorHAnsi" w:eastAsia="Calibri" w:hAnsiTheme="minorHAnsi" w:cstheme="minorHAnsi"/>
          <w:sz w:val="22"/>
          <w:szCs w:val="22"/>
          <w:lang w:eastAsia="en-US"/>
        </w:rPr>
        <w:t>:</w:t>
      </w:r>
    </w:p>
    <w:p w14:paraId="2A605E2D" w14:textId="107B247F"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 la proposición de soluciones creativas a la sostenibilidad de la acción especialmente en la vinculación de financiamiento internacional con PSA.</w:t>
      </w:r>
    </w:p>
    <w:p w14:paraId="4E09AF5A"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Disponibilidad para misiones presenciales en Costa Rica en los hitos clave.</w:t>
      </w:r>
    </w:p>
    <w:p w14:paraId="6498E2B7"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Capacidad para organizar y facilitar talleres participativos presenciales y virtuales.</w:t>
      </w:r>
    </w:p>
    <w:p w14:paraId="583E6A35"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Producción de documentación técnica en español; capacidad en inglés para documentos de relacionamiento con financiadores internacionales; y capacidad para producir plantillas y paquetes operativos listos para implementación.</w:t>
      </w:r>
    </w:p>
    <w:p w14:paraId="6D7D6A63"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Declaración formal de ausencia de conflicto de interés con potenciales financiadores y de independencia frente a actores financieros que puedan beneficiarse directamente de los instrumentos diseñados.</w:t>
      </w:r>
    </w:p>
    <w:p w14:paraId="7F6750D2" w14:textId="77777777" w:rsidR="00567CAF" w:rsidRPr="00F072E2" w:rsidRDefault="00567CAF" w:rsidP="00F072E2">
      <w:pPr>
        <w:spacing w:after="80"/>
        <w:jc w:val="both"/>
        <w:rPr>
          <w:rFonts w:asciiTheme="minorHAnsi" w:hAnsiTheme="minorHAnsi" w:cstheme="minorHAnsi"/>
          <w:sz w:val="22"/>
          <w:szCs w:val="22"/>
        </w:rPr>
      </w:pPr>
    </w:p>
    <w:p w14:paraId="3994880B"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9. PROCEDIMIENTO PARA LA PRESENTACIÓN DE OFERTAS TÉCNICAS Y FINANCIERAS</w:t>
      </w:r>
    </w:p>
    <w:p w14:paraId="1233DC4D"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Los proveedores interesados deberán preparar y enviar a Expertise France la siguiente documentación:</w:t>
      </w:r>
    </w:p>
    <w:p w14:paraId="6A972254" w14:textId="77777777" w:rsidR="00567CAF" w:rsidRPr="00F072E2" w:rsidRDefault="00D86CA1" w:rsidP="00F072E2">
      <w:pPr>
        <w:pStyle w:val="Prrafodelista"/>
        <w:spacing w:before="40" w:after="60"/>
        <w:jc w:val="both"/>
        <w:rPr>
          <w:rFonts w:asciiTheme="minorHAnsi" w:hAnsiTheme="minorHAnsi" w:cstheme="minorHAnsi"/>
          <w:b/>
          <w:bCs/>
          <w:lang w:val="es-CO"/>
        </w:rPr>
      </w:pPr>
      <w:r w:rsidRPr="00F072E2">
        <w:rPr>
          <w:rFonts w:asciiTheme="minorHAnsi" w:hAnsiTheme="minorHAnsi" w:cstheme="minorHAnsi"/>
          <w:b/>
          <w:bCs/>
          <w:lang w:val="es-CO"/>
        </w:rPr>
        <w:t>Propuesta metodológica, que incluya:</w:t>
      </w:r>
    </w:p>
    <w:p w14:paraId="430CDEBC" w14:textId="69682CB3"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Nota de análisis y comprensión de los TdR, el contexto institucional y la problemática central del PSA 2.0.</w:t>
      </w:r>
      <w:r w:rsidR="00F072E2">
        <w:rPr>
          <w:rFonts w:asciiTheme="minorHAnsi" w:hAnsiTheme="minorHAnsi" w:cstheme="minorHAnsi"/>
          <w:sz w:val="22"/>
          <w:szCs w:val="22"/>
        </w:rPr>
        <w:t xml:space="preserve"> En la nota será valorada la propuesta de propuestas rigurosas y creativas. </w:t>
      </w:r>
    </w:p>
    <w:p w14:paraId="5FC9B38D"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Metodología detallada y participativa, con descripción clara de actividades, herramientas, número de días por experto y cronograma.</w:t>
      </w:r>
    </w:p>
    <w:p w14:paraId="57FA1F95"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Presentación del equipo de expertos con hojas de vida en formato UE, incluyendo 3 referencias por consultor sobre temas afines.</w:t>
      </w:r>
    </w:p>
    <w:p w14:paraId="319A7E88"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Análisis de riesgos técnicos y propuesta de medidas de mitigación.</w:t>
      </w:r>
    </w:p>
    <w:p w14:paraId="0EF4F45C" w14:textId="77777777" w:rsidR="00567CAF" w:rsidRPr="0005338A" w:rsidRDefault="00D86CA1" w:rsidP="00F072E2">
      <w:pPr>
        <w:pStyle w:val="Prrafodelista"/>
        <w:spacing w:before="40" w:after="60"/>
        <w:jc w:val="both"/>
        <w:rPr>
          <w:rFonts w:asciiTheme="minorHAnsi" w:hAnsiTheme="minorHAnsi" w:cstheme="minorHAnsi"/>
          <w:b/>
          <w:bCs/>
          <w:lang w:val="es-CO"/>
        </w:rPr>
      </w:pPr>
      <w:r w:rsidRPr="0005338A">
        <w:rPr>
          <w:rFonts w:asciiTheme="minorHAnsi" w:hAnsiTheme="minorHAnsi" w:cstheme="minorHAnsi"/>
          <w:b/>
          <w:bCs/>
          <w:lang w:val="es-CO"/>
        </w:rPr>
        <w:t>Propuesta financiera detallada:</w:t>
      </w:r>
    </w:p>
    <w:p w14:paraId="664F35CD"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Otros gastos previstos (misiones, materiales, facilidades).</w:t>
      </w:r>
    </w:p>
    <w:p w14:paraId="07CFE526"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 Total por actividad y total global.</w:t>
      </w:r>
    </w:p>
    <w:p w14:paraId="4D9696F4" w14:textId="77777777" w:rsidR="00567CAF" w:rsidRPr="00F072E2" w:rsidRDefault="00567CAF" w:rsidP="00F072E2">
      <w:pPr>
        <w:spacing w:after="80"/>
        <w:jc w:val="both"/>
        <w:rPr>
          <w:rFonts w:asciiTheme="minorHAnsi" w:hAnsiTheme="minorHAnsi" w:cstheme="minorHAnsi"/>
          <w:sz w:val="22"/>
          <w:szCs w:val="22"/>
        </w:rPr>
      </w:pPr>
    </w:p>
    <w:p w14:paraId="2529F8AB"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10. LINEAMIENTOS GENERALES DE COMUNICACIÓN</w:t>
      </w:r>
    </w:p>
    <w:p w14:paraId="56356C6C" w14:textId="034A7999"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 comunicación estratégica y la visibilidad son partes fundamentales de todos los programas de la Unión Europea, incluido el Programa EUROCLIMA. Todos los contratos y acuerdos deberán ajustarse a las directrices de comunicación de la Dirección General de Comunicación de la Comisión Europea:</w:t>
      </w:r>
    </w:p>
    <w:p w14:paraId="5A8D3CD4"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 xml:space="preserve">Comunicar y dar visibilidad al programa EUROCLIMA, a Expertise France </w:t>
      </w:r>
      <w:r w:rsidRPr="00F072E2">
        <w:rPr>
          <w:rFonts w:asciiTheme="minorHAnsi" w:hAnsiTheme="minorHAnsi" w:cstheme="minorHAnsi"/>
          <w:b/>
          <w:lang w:val="es-CO"/>
        </w:rPr>
        <w:t>y al Global Gateway de la Unión Europea</w:t>
      </w:r>
      <w:r w:rsidRPr="00F072E2">
        <w:rPr>
          <w:rFonts w:asciiTheme="minorHAnsi" w:hAnsiTheme="minorHAnsi" w:cstheme="minorHAnsi"/>
          <w:lang w:val="es-CO"/>
        </w:rPr>
        <w:t xml:space="preserve"> en todos los productos, eventos y documentos derivados de la consultoría.</w:t>
      </w:r>
    </w:p>
    <w:p w14:paraId="776389CC"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lastRenderedPageBreak/>
        <w:t>Garantizar la visibilidad adecuada de la ayuda financiera del Programa EUROCLIMA y Expertise France, asegurando transparencia hacia los contribuyentes y ciudadanos de los países socios.</w:t>
      </w:r>
    </w:p>
    <w:p w14:paraId="40AA4FD2"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La comunicación estratégica es fundamental para reforzar el papel de la Unión Europea y el Programa EUROCLIMA en la región, aumentando la credibilidad al demostrar el valor añadido de su apoyo.</w:t>
      </w:r>
    </w:p>
    <w:p w14:paraId="60C4F6BD"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Todas las actividades de comunicación deben seguir los lineamientos del Programa y de Expertise France, en particular el uso de logos en el orden indicado por la Dirección General de Comunicaciones del Secretariado.</w:t>
      </w:r>
    </w:p>
    <w:p w14:paraId="7F3AAD7D"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En caso de realización de talleres o eventos, el contratista deberá tomar registros fotográficos y videos de alta calidad, los cuales deberán ser compartidos con Expertise France. Una vez firmado el contrato se darán más detalles sobre cómo se debe entregar este material.</w:t>
      </w:r>
    </w:p>
    <w:p w14:paraId="091E85C8"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En todo producto de comunicación deben aparecer los logos del Programa y de Expertise France: videos, comunicados de prensa, banners, presentaciones, papelería, informes, reportes, etc.</w:t>
      </w:r>
    </w:p>
    <w:p w14:paraId="72FEF663"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Toda pieza de comunicación o plan de comunicación debe obtener la aprobación de Expertise France antes de iniciarse la ejecución, salvo acuerdo en contrario.</w:t>
      </w:r>
    </w:p>
    <w:p w14:paraId="3A3F1EAA" w14:textId="77777777" w:rsidR="00567CAF" w:rsidRPr="00F072E2" w:rsidRDefault="00D86CA1" w:rsidP="00F072E2">
      <w:pPr>
        <w:pStyle w:val="Prrafodelista"/>
        <w:numPr>
          <w:ilvl w:val="0"/>
          <w:numId w:val="2"/>
        </w:numPr>
        <w:spacing w:before="40" w:after="60"/>
        <w:jc w:val="both"/>
        <w:rPr>
          <w:rFonts w:asciiTheme="minorHAnsi" w:hAnsiTheme="minorHAnsi" w:cstheme="minorHAnsi"/>
          <w:lang w:val="es-CO"/>
        </w:rPr>
      </w:pPr>
      <w:r w:rsidRPr="00F072E2">
        <w:rPr>
          <w:rFonts w:asciiTheme="minorHAnsi" w:hAnsiTheme="minorHAnsi" w:cstheme="minorHAnsi"/>
          <w:lang w:val="es-CO"/>
        </w:rPr>
        <w:t>Se pensará una estrategia de comunicación de acuerdo con los hitos claves, que se negociará en la fase de arranque de la consultoría.</w:t>
      </w:r>
    </w:p>
    <w:p w14:paraId="22882C69" w14:textId="77777777" w:rsidR="00567CAF" w:rsidRPr="00F072E2" w:rsidRDefault="00567CAF" w:rsidP="00F072E2">
      <w:pPr>
        <w:spacing w:after="80"/>
        <w:jc w:val="both"/>
        <w:rPr>
          <w:rFonts w:asciiTheme="minorHAnsi" w:hAnsiTheme="minorHAnsi" w:cstheme="minorHAnsi"/>
          <w:sz w:val="22"/>
          <w:szCs w:val="22"/>
        </w:rPr>
      </w:pPr>
    </w:p>
    <w:p w14:paraId="5D1C8B04" w14:textId="77777777" w:rsidR="00567CAF" w:rsidRPr="00F072E2" w:rsidRDefault="00D86CA1" w:rsidP="00F072E2">
      <w:pPr>
        <w:pStyle w:val="Ttulo1"/>
        <w:jc w:val="both"/>
        <w:rPr>
          <w:rFonts w:asciiTheme="minorHAnsi" w:hAnsiTheme="minorHAnsi" w:cstheme="minorHAnsi"/>
          <w:sz w:val="22"/>
          <w:szCs w:val="22"/>
        </w:rPr>
      </w:pPr>
      <w:r w:rsidRPr="00F072E2">
        <w:rPr>
          <w:rFonts w:asciiTheme="minorHAnsi" w:hAnsiTheme="minorHAnsi" w:cstheme="minorHAnsi"/>
          <w:sz w:val="22"/>
          <w:szCs w:val="22"/>
        </w:rPr>
        <w:t>ANEXO — BIBLIOGRAFÍA DE REFERENCIA</w:t>
      </w:r>
    </w:p>
    <w:p w14:paraId="2B0DEE3F"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sz w:val="22"/>
          <w:szCs w:val="22"/>
        </w:rPr>
        <w:t>Las referencias citadas en el cuerpo de estos Términos de Referencia, y que fundamentan el marco metodológico y los estándares técnicos requeridos, son las siguientes:</w:t>
      </w:r>
    </w:p>
    <w:p w14:paraId="5079BFE7" w14:textId="77777777" w:rsidR="00567CAF" w:rsidRPr="00F072E2" w:rsidRDefault="00567CAF" w:rsidP="00F072E2">
      <w:pPr>
        <w:spacing w:after="80"/>
        <w:jc w:val="both"/>
        <w:rPr>
          <w:rFonts w:asciiTheme="minorHAnsi" w:hAnsiTheme="minorHAnsi" w:cstheme="minorHAnsi"/>
          <w:sz w:val="22"/>
          <w:szCs w:val="22"/>
        </w:rPr>
      </w:pPr>
    </w:p>
    <w:p w14:paraId="69C3D2AA"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Economía ecológica y esquemas PES/PSA</w:t>
      </w:r>
    </w:p>
    <w:p w14:paraId="1875A41E"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Pagiola, S. (2008). Payments for environmental services in Costa Rica. </w:t>
      </w:r>
      <w:r w:rsidRPr="00F072E2">
        <w:rPr>
          <w:rFonts w:asciiTheme="minorHAnsi" w:hAnsiTheme="minorHAnsi" w:cstheme="minorHAnsi"/>
          <w:i/>
          <w:iCs/>
        </w:rPr>
        <w:t>Ecological Economics, 65(4), 712–724.</w:t>
      </w:r>
    </w:p>
    <w:p w14:paraId="7425DD00"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05338A">
        <w:rPr>
          <w:rFonts w:asciiTheme="minorHAnsi" w:hAnsiTheme="minorHAnsi" w:cstheme="minorHAnsi"/>
          <w:i/>
        </w:rPr>
        <w:t xml:space="preserve">Porras, I., Miranda, M. &amp; Barton, D.N. (2021). </w:t>
      </w:r>
      <w:r w:rsidRPr="00F072E2">
        <w:rPr>
          <w:rFonts w:asciiTheme="minorHAnsi" w:hAnsiTheme="minorHAnsi" w:cstheme="minorHAnsi"/>
          <w:i/>
        </w:rPr>
        <w:t xml:space="preserve">PSA 2.0: Redesigning Costa Rica's payment for environmental services </w:t>
      </w:r>
      <w:proofErr w:type="spellStart"/>
      <w:r w:rsidRPr="00F072E2">
        <w:rPr>
          <w:rFonts w:asciiTheme="minorHAnsi" w:hAnsiTheme="minorHAnsi" w:cstheme="minorHAnsi"/>
          <w:i/>
        </w:rPr>
        <w:t>programme</w:t>
      </w:r>
      <w:proofErr w:type="spellEnd"/>
      <w:r w:rsidRPr="00F072E2">
        <w:rPr>
          <w:rFonts w:asciiTheme="minorHAnsi" w:hAnsiTheme="minorHAnsi" w:cstheme="minorHAnsi"/>
          <w:i/>
        </w:rPr>
        <w:t xml:space="preserve"> for the next generation. </w:t>
      </w:r>
      <w:r w:rsidRPr="00F072E2">
        <w:rPr>
          <w:rFonts w:asciiTheme="minorHAnsi" w:hAnsiTheme="minorHAnsi" w:cstheme="minorHAnsi"/>
          <w:i/>
          <w:iCs/>
        </w:rPr>
        <w:t>Ecological Economics, 183, 106957.</w:t>
      </w:r>
    </w:p>
    <w:p w14:paraId="6B9C3B7D"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lang w:val="en-CA"/>
        </w:rPr>
        <w:t xml:space="preserve">Porras, I. et al. (2013). </w:t>
      </w:r>
      <w:r w:rsidRPr="00F072E2">
        <w:rPr>
          <w:rFonts w:asciiTheme="minorHAnsi" w:hAnsiTheme="minorHAnsi" w:cstheme="minorHAnsi"/>
          <w:i/>
        </w:rPr>
        <w:t xml:space="preserve">PES in the CGIAR Research Program on Forests, Trees and Agroforestry. </w:t>
      </w:r>
      <w:r w:rsidRPr="00F072E2">
        <w:rPr>
          <w:rFonts w:asciiTheme="minorHAnsi" w:hAnsiTheme="minorHAnsi" w:cstheme="minorHAnsi"/>
          <w:i/>
          <w:iCs/>
        </w:rPr>
        <w:t>Working Paper 116. Bogor: CIFOR.</w:t>
      </w:r>
    </w:p>
    <w:p w14:paraId="63A3193A"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lang w:val="nl-NL"/>
        </w:rPr>
        <w:t xml:space="preserve">Wunder, S., Brouwer, R., Engel, S. et al. </w:t>
      </w:r>
      <w:r w:rsidRPr="00F072E2">
        <w:rPr>
          <w:rFonts w:asciiTheme="minorHAnsi" w:hAnsiTheme="minorHAnsi" w:cstheme="minorHAnsi"/>
          <w:i/>
          <w:lang w:val="en-CA"/>
        </w:rPr>
        <w:t xml:space="preserve">(2018). </w:t>
      </w:r>
      <w:r w:rsidRPr="00F072E2">
        <w:rPr>
          <w:rFonts w:asciiTheme="minorHAnsi" w:hAnsiTheme="minorHAnsi" w:cstheme="minorHAnsi"/>
          <w:i/>
        </w:rPr>
        <w:t xml:space="preserve">From principles to practice in paying for nature's services. </w:t>
      </w:r>
      <w:r w:rsidRPr="00F072E2">
        <w:rPr>
          <w:rFonts w:asciiTheme="minorHAnsi" w:hAnsiTheme="minorHAnsi" w:cstheme="minorHAnsi"/>
          <w:i/>
          <w:iCs/>
        </w:rPr>
        <w:t>Nature Sustainability, 1, 145–150.</w:t>
      </w:r>
    </w:p>
    <w:p w14:paraId="030BB8CA"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Engel, S. (2016). The devil in the details: a practical guide on designing payments for environmental services. </w:t>
      </w:r>
      <w:r w:rsidRPr="00F072E2">
        <w:rPr>
          <w:rFonts w:asciiTheme="minorHAnsi" w:hAnsiTheme="minorHAnsi" w:cstheme="minorHAnsi"/>
          <w:i/>
          <w:iCs/>
        </w:rPr>
        <w:t>International Review of Environmental and Resource Economics, 9(1–2), 131–177.</w:t>
      </w:r>
    </w:p>
    <w:p w14:paraId="73BCD461" w14:textId="77777777" w:rsidR="00567CAF" w:rsidRPr="00F072E2" w:rsidRDefault="00567CAF" w:rsidP="00F072E2">
      <w:pPr>
        <w:spacing w:after="80"/>
        <w:jc w:val="both"/>
        <w:rPr>
          <w:rFonts w:asciiTheme="minorHAnsi" w:hAnsiTheme="minorHAnsi" w:cstheme="minorHAnsi"/>
          <w:sz w:val="22"/>
          <w:szCs w:val="22"/>
        </w:rPr>
      </w:pPr>
    </w:p>
    <w:p w14:paraId="2E2C7385"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 xml:space="preserve">Financiamiento climático y </w:t>
      </w:r>
      <w:proofErr w:type="spellStart"/>
      <w:r w:rsidRPr="00F072E2">
        <w:rPr>
          <w:rFonts w:asciiTheme="minorHAnsi" w:hAnsiTheme="minorHAnsi" w:cstheme="minorHAnsi"/>
          <w:b/>
          <w:bCs/>
          <w:sz w:val="22"/>
          <w:szCs w:val="22"/>
        </w:rPr>
        <w:t>blended</w:t>
      </w:r>
      <w:proofErr w:type="spellEnd"/>
      <w:r w:rsidRPr="00F072E2">
        <w:rPr>
          <w:rFonts w:asciiTheme="minorHAnsi" w:hAnsiTheme="minorHAnsi" w:cstheme="minorHAnsi"/>
          <w:b/>
          <w:bCs/>
          <w:sz w:val="22"/>
          <w:szCs w:val="22"/>
        </w:rPr>
        <w:t xml:space="preserve"> </w:t>
      </w:r>
      <w:proofErr w:type="spellStart"/>
      <w:r w:rsidRPr="00F072E2">
        <w:rPr>
          <w:rFonts w:asciiTheme="minorHAnsi" w:hAnsiTheme="minorHAnsi" w:cstheme="minorHAnsi"/>
          <w:b/>
          <w:bCs/>
          <w:sz w:val="22"/>
          <w:szCs w:val="22"/>
        </w:rPr>
        <w:t>finance</w:t>
      </w:r>
      <w:proofErr w:type="spellEnd"/>
    </w:p>
    <w:p w14:paraId="7A587D78"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CPI — Climate Policy Initiative (2023). Global Landscape of Climate Finance 2023. </w:t>
      </w:r>
      <w:r w:rsidRPr="00F072E2">
        <w:rPr>
          <w:rFonts w:asciiTheme="minorHAnsi" w:hAnsiTheme="minorHAnsi" w:cstheme="minorHAnsi"/>
          <w:i/>
          <w:iCs/>
        </w:rPr>
        <w:t>London: CPI.</w:t>
      </w:r>
    </w:p>
    <w:p w14:paraId="2FD261BA"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GCF — Green Climate Fund (2023). Accreditation Standards and Fiduciary Principles. </w:t>
      </w:r>
      <w:r w:rsidRPr="00F072E2">
        <w:rPr>
          <w:rFonts w:asciiTheme="minorHAnsi" w:hAnsiTheme="minorHAnsi" w:cstheme="minorHAnsi"/>
          <w:i/>
          <w:iCs/>
        </w:rPr>
        <w:t>Songdo: GCF Secretariat.</w:t>
      </w:r>
    </w:p>
    <w:p w14:paraId="34FBDD3C"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GEF — Global Environment Facility (2022). GEF-8 Programming Directions. </w:t>
      </w:r>
      <w:r w:rsidRPr="00F072E2">
        <w:rPr>
          <w:rFonts w:asciiTheme="minorHAnsi" w:hAnsiTheme="minorHAnsi" w:cstheme="minorHAnsi"/>
          <w:i/>
          <w:iCs/>
        </w:rPr>
        <w:t>Washington D.C.: GEF Secretariat.</w:t>
      </w:r>
    </w:p>
    <w:p w14:paraId="3D631745"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lastRenderedPageBreak/>
        <w:t xml:space="preserve">OECD (2021). Blended Finance Funds and Facilities: 2020 Survey Results. </w:t>
      </w:r>
      <w:r w:rsidRPr="00F072E2">
        <w:rPr>
          <w:rFonts w:asciiTheme="minorHAnsi" w:hAnsiTheme="minorHAnsi" w:cstheme="minorHAnsi"/>
          <w:i/>
          <w:iCs/>
        </w:rPr>
        <w:t>Paris: OECD Publishing.</w:t>
      </w:r>
    </w:p>
    <w:p w14:paraId="1D808F0E" w14:textId="77777777" w:rsidR="00567CAF" w:rsidRPr="00F072E2" w:rsidRDefault="00567CAF" w:rsidP="00F072E2">
      <w:pPr>
        <w:spacing w:after="80"/>
        <w:jc w:val="both"/>
        <w:rPr>
          <w:rFonts w:asciiTheme="minorHAnsi" w:hAnsiTheme="minorHAnsi" w:cstheme="minorHAnsi"/>
          <w:sz w:val="22"/>
          <w:szCs w:val="22"/>
        </w:rPr>
      </w:pPr>
    </w:p>
    <w:p w14:paraId="67FCCF85"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Bosques, REDD+ y carbono forestal</w:t>
      </w:r>
    </w:p>
    <w:p w14:paraId="68B20D70"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BIOFIN (2025). Costa Rica's Future Flows Securitization Bill for Protected Areas provides a replicable model for unlocking public-private finance. </w:t>
      </w:r>
      <w:r w:rsidRPr="00F072E2">
        <w:rPr>
          <w:rFonts w:asciiTheme="minorHAnsi" w:hAnsiTheme="minorHAnsi" w:cstheme="minorHAnsi"/>
          <w:i/>
          <w:iCs/>
        </w:rPr>
        <w:t>BIOFIN/UNDP.</w:t>
      </w:r>
    </w:p>
    <w:p w14:paraId="11BA5FA7"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lang w:val="en-CA"/>
        </w:rPr>
        <w:t xml:space="preserve">Angelsen, A. et al. (2023). </w:t>
      </w:r>
      <w:r w:rsidRPr="00F072E2">
        <w:rPr>
          <w:rFonts w:asciiTheme="minorHAnsi" w:hAnsiTheme="minorHAnsi" w:cstheme="minorHAnsi"/>
          <w:i/>
        </w:rPr>
        <w:t xml:space="preserve">REDD+ at a crossroads: What next for the Paris Agreement's forests agenda? </w:t>
      </w:r>
      <w:r w:rsidRPr="00F072E2">
        <w:rPr>
          <w:rFonts w:asciiTheme="minorHAnsi" w:hAnsiTheme="minorHAnsi" w:cstheme="minorHAnsi"/>
          <w:i/>
          <w:iCs/>
        </w:rPr>
        <w:t>Global Environmental Change, 79, 102649.</w:t>
      </w:r>
    </w:p>
    <w:p w14:paraId="35F4349A"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IPCC (2022). AR6 Working Group III: Mitigation of Climate Change. Cambridge University Press. Chapter 7: Agriculture, Forestry and Other Land Uses (AFOLU).</w:t>
      </w:r>
    </w:p>
    <w:p w14:paraId="7492D4DA"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FAO / FORIS (2022). GEF PES Portfolio Review: Trends, gaps and opportunities in payments for ecosystem services. </w:t>
      </w:r>
      <w:r w:rsidRPr="00F072E2">
        <w:rPr>
          <w:rFonts w:asciiTheme="minorHAnsi" w:hAnsiTheme="minorHAnsi" w:cstheme="minorHAnsi"/>
          <w:i/>
          <w:iCs/>
        </w:rPr>
        <w:t>Rome: FAO.</w:t>
      </w:r>
    </w:p>
    <w:p w14:paraId="3FFCB864" w14:textId="77777777" w:rsidR="00567CAF" w:rsidRPr="00F072E2" w:rsidRDefault="00567CAF" w:rsidP="00F072E2">
      <w:pPr>
        <w:spacing w:after="80"/>
        <w:jc w:val="both"/>
        <w:rPr>
          <w:rFonts w:asciiTheme="minorHAnsi" w:hAnsiTheme="minorHAnsi" w:cstheme="minorHAnsi"/>
          <w:sz w:val="22"/>
          <w:szCs w:val="22"/>
        </w:rPr>
      </w:pPr>
    </w:p>
    <w:p w14:paraId="5D3A9E48"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Carbono azul y ecosistemas marino-costeros</w:t>
      </w:r>
    </w:p>
    <w:p w14:paraId="2CD714B6"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lang w:val="en-CA"/>
        </w:rPr>
        <w:t xml:space="preserve">Howard, J. et al. (2014). </w:t>
      </w:r>
      <w:r w:rsidRPr="00F072E2">
        <w:rPr>
          <w:rFonts w:asciiTheme="minorHAnsi" w:hAnsiTheme="minorHAnsi" w:cstheme="minorHAnsi"/>
          <w:i/>
        </w:rPr>
        <w:t xml:space="preserve">Clarifying the role of coastal and marine systems in climate mitigation. </w:t>
      </w:r>
      <w:r w:rsidRPr="00F072E2">
        <w:rPr>
          <w:rFonts w:asciiTheme="minorHAnsi" w:hAnsiTheme="minorHAnsi" w:cstheme="minorHAnsi"/>
          <w:i/>
          <w:iCs/>
        </w:rPr>
        <w:t>Frontiers in Ecology and the Environment, 15(1), 42–50.</w:t>
      </w:r>
    </w:p>
    <w:p w14:paraId="52425AD0"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IUCN (2021). A guide to using the IUCN Global Ecosystem Typology for biodiversity finance structuring. </w:t>
      </w:r>
      <w:r w:rsidRPr="00F072E2">
        <w:rPr>
          <w:rFonts w:asciiTheme="minorHAnsi" w:hAnsiTheme="minorHAnsi" w:cstheme="minorHAnsi"/>
          <w:i/>
          <w:iCs/>
        </w:rPr>
        <w:t>Gland: IUCN.</w:t>
      </w:r>
    </w:p>
    <w:p w14:paraId="56A2CF74"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Verra (2023). Verra Blue Carbon Standard: Methodology for Tidal Wetland and Seagrass Restoration. </w:t>
      </w:r>
      <w:r w:rsidRPr="00F072E2">
        <w:rPr>
          <w:rFonts w:asciiTheme="minorHAnsi" w:hAnsiTheme="minorHAnsi" w:cstheme="minorHAnsi"/>
          <w:i/>
          <w:iCs/>
        </w:rPr>
        <w:t>Washington D.C.: Verra.</w:t>
      </w:r>
    </w:p>
    <w:p w14:paraId="3EFD7294" w14:textId="77777777" w:rsidR="00567CAF" w:rsidRPr="00F072E2" w:rsidRDefault="00567CAF" w:rsidP="00F072E2">
      <w:pPr>
        <w:spacing w:after="80"/>
        <w:jc w:val="both"/>
        <w:rPr>
          <w:rFonts w:asciiTheme="minorHAnsi" w:hAnsiTheme="minorHAnsi" w:cstheme="minorHAnsi"/>
          <w:sz w:val="22"/>
          <w:szCs w:val="22"/>
        </w:rPr>
      </w:pPr>
    </w:p>
    <w:p w14:paraId="1C215EA6"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b/>
          <w:bCs/>
          <w:sz w:val="22"/>
          <w:szCs w:val="22"/>
        </w:rPr>
        <w:t>Salvaguardas, gobernanza y reporte de impacto</w:t>
      </w:r>
    </w:p>
    <w:p w14:paraId="4738D9B3"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IFC — International Finance Corporation (2012, rev. 2020). Performance Standards on Environmental and Social Sustainability. Washington D.C.: IFC.</w:t>
      </w:r>
    </w:p>
    <w:p w14:paraId="6B04883C"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 xml:space="preserve">TNFD — Taskforce on Nature-related Financial Disclosures (2023). TNFD Nature-related Risk and Opportunity Management and Disclosure Framework. v1.0. </w:t>
      </w:r>
      <w:r w:rsidRPr="00F072E2">
        <w:rPr>
          <w:rFonts w:asciiTheme="minorHAnsi" w:hAnsiTheme="minorHAnsi" w:cstheme="minorHAnsi"/>
          <w:i/>
          <w:iCs/>
        </w:rPr>
        <w:t>London: TNFD.</w:t>
      </w:r>
    </w:p>
    <w:p w14:paraId="27EB4854"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lang w:val="es-CO"/>
        </w:rPr>
        <w:t xml:space="preserve">EU — Comisión Europea (2020). Reglamento (UE) 2020/852 relativo al establecimiento de un marco para facilitar las inversiones sostenibles (Taxonomía Verde). </w:t>
      </w:r>
      <w:proofErr w:type="spellStart"/>
      <w:r w:rsidRPr="00F072E2">
        <w:rPr>
          <w:rFonts w:asciiTheme="minorHAnsi" w:hAnsiTheme="minorHAnsi" w:cstheme="minorHAnsi"/>
          <w:i/>
          <w:iCs/>
        </w:rPr>
        <w:t>Bruselas</w:t>
      </w:r>
      <w:proofErr w:type="spellEnd"/>
      <w:r w:rsidRPr="00F072E2">
        <w:rPr>
          <w:rFonts w:asciiTheme="minorHAnsi" w:hAnsiTheme="minorHAnsi" w:cstheme="minorHAnsi"/>
          <w:i/>
          <w:iCs/>
        </w:rPr>
        <w:t xml:space="preserve">: </w:t>
      </w:r>
      <w:proofErr w:type="spellStart"/>
      <w:r w:rsidRPr="00F072E2">
        <w:rPr>
          <w:rFonts w:asciiTheme="minorHAnsi" w:hAnsiTheme="minorHAnsi" w:cstheme="minorHAnsi"/>
          <w:i/>
          <w:iCs/>
        </w:rPr>
        <w:t>Diario</w:t>
      </w:r>
      <w:proofErr w:type="spellEnd"/>
      <w:r w:rsidRPr="00F072E2">
        <w:rPr>
          <w:rFonts w:asciiTheme="minorHAnsi" w:hAnsiTheme="minorHAnsi" w:cstheme="minorHAnsi"/>
          <w:i/>
          <w:iCs/>
        </w:rPr>
        <w:t xml:space="preserve"> </w:t>
      </w:r>
      <w:proofErr w:type="spellStart"/>
      <w:r w:rsidRPr="00F072E2">
        <w:rPr>
          <w:rFonts w:asciiTheme="minorHAnsi" w:hAnsiTheme="minorHAnsi" w:cstheme="minorHAnsi"/>
          <w:i/>
          <w:iCs/>
        </w:rPr>
        <w:t>Oficial</w:t>
      </w:r>
      <w:proofErr w:type="spellEnd"/>
      <w:r w:rsidRPr="00F072E2">
        <w:rPr>
          <w:rFonts w:asciiTheme="minorHAnsi" w:hAnsiTheme="minorHAnsi" w:cstheme="minorHAnsi"/>
          <w:i/>
          <w:iCs/>
        </w:rPr>
        <w:t xml:space="preserve"> de la UE.</w:t>
      </w:r>
    </w:p>
    <w:p w14:paraId="084292F7" w14:textId="77777777" w:rsidR="00567CAF" w:rsidRPr="00F072E2" w:rsidRDefault="00D86CA1" w:rsidP="00F072E2">
      <w:pPr>
        <w:pStyle w:val="Prrafodelista"/>
        <w:numPr>
          <w:ilvl w:val="0"/>
          <w:numId w:val="2"/>
        </w:numPr>
        <w:spacing w:before="40" w:after="40"/>
        <w:jc w:val="both"/>
        <w:rPr>
          <w:rFonts w:asciiTheme="minorHAnsi" w:hAnsiTheme="minorHAnsi" w:cstheme="minorHAnsi"/>
        </w:rPr>
      </w:pPr>
      <w:r w:rsidRPr="00F072E2">
        <w:rPr>
          <w:rFonts w:asciiTheme="minorHAnsi" w:hAnsiTheme="minorHAnsi" w:cstheme="minorHAnsi"/>
          <w:i/>
        </w:rPr>
        <w:t>UNFCCC (2013). Warsaw Framework for REDD+. Decisions 9–15/CP.19. Warsaw: UNFCCC Secretariat.</w:t>
      </w:r>
    </w:p>
    <w:p w14:paraId="7D0CB60A" w14:textId="77777777" w:rsidR="00567CAF" w:rsidRPr="00F072E2" w:rsidRDefault="00567CAF" w:rsidP="00F072E2">
      <w:pPr>
        <w:spacing w:after="80"/>
        <w:jc w:val="both"/>
        <w:rPr>
          <w:rFonts w:asciiTheme="minorHAnsi" w:hAnsiTheme="minorHAnsi" w:cstheme="minorHAnsi"/>
          <w:sz w:val="22"/>
          <w:szCs w:val="22"/>
          <w:highlight w:val="yellow"/>
          <w:lang w:val="en-US"/>
        </w:rPr>
      </w:pPr>
    </w:p>
    <w:p w14:paraId="6BB09331" w14:textId="77777777" w:rsidR="00567CAF" w:rsidRPr="00F072E2" w:rsidRDefault="00D86CA1" w:rsidP="00F072E2">
      <w:pPr>
        <w:spacing w:before="80" w:after="100"/>
        <w:jc w:val="both"/>
        <w:rPr>
          <w:rFonts w:asciiTheme="minorHAnsi" w:hAnsiTheme="minorHAnsi" w:cstheme="minorHAnsi"/>
          <w:sz w:val="22"/>
          <w:szCs w:val="22"/>
        </w:rPr>
      </w:pPr>
      <w:r w:rsidRPr="00F072E2">
        <w:rPr>
          <w:rFonts w:asciiTheme="minorHAnsi" w:hAnsiTheme="minorHAnsi" w:cstheme="minorHAnsi"/>
          <w:i/>
          <w:iCs/>
          <w:color w:val="666666"/>
          <w:sz w:val="22"/>
          <w:szCs w:val="22"/>
        </w:rPr>
        <w:t>Versión 6 — Revisada. Mayo 2026.</w:t>
      </w:r>
    </w:p>
    <w:sectPr w:rsidR="00567CAF" w:rsidRPr="00F072E2" w:rsidSect="00F072E2">
      <w:headerReference w:type="default" r:id="rId9"/>
      <w:footerReference w:type="default" r:id="rId10"/>
      <w:headerReference w:type="first" r:id="rId11"/>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C090E" w14:textId="77777777" w:rsidR="00A27764" w:rsidRDefault="00A27764" w:rsidP="00F072E2">
      <w:r>
        <w:separator/>
      </w:r>
    </w:p>
  </w:endnote>
  <w:endnote w:type="continuationSeparator" w:id="0">
    <w:p w14:paraId="126B3299" w14:textId="77777777" w:rsidR="00A27764" w:rsidRDefault="00A27764" w:rsidP="00F0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0941" w14:textId="00E21BD9" w:rsidR="00FB17EC" w:rsidRDefault="00FB17EC">
    <w:pPr>
      <w:pStyle w:val="Piedepgina"/>
      <w:jc w:val="right"/>
    </w:pPr>
    <w:r>
      <w:fldChar w:fldCharType="begin"/>
    </w:r>
    <w:r>
      <w:instrText>PAGE   \* MERGEFORMAT</w:instrText>
    </w:r>
    <w:r>
      <w:fldChar w:fldCharType="separate"/>
    </w:r>
    <w:r w:rsidR="00DA7DD3">
      <w:rPr>
        <w:noProof/>
      </w:rPr>
      <w:t>15</w:t>
    </w:r>
    <w:r>
      <w:fldChar w:fldCharType="end"/>
    </w:r>
  </w:p>
  <w:p w14:paraId="3CAF425F" w14:textId="77777777" w:rsidR="00FB17EC" w:rsidRDefault="00FB17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ED161" w14:textId="77777777" w:rsidR="00A27764" w:rsidRDefault="00A27764" w:rsidP="00F072E2">
      <w:r>
        <w:separator/>
      </w:r>
    </w:p>
  </w:footnote>
  <w:footnote w:type="continuationSeparator" w:id="0">
    <w:p w14:paraId="15367C3F" w14:textId="77777777" w:rsidR="00A27764" w:rsidRDefault="00A27764" w:rsidP="00F0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1748" w14:textId="099DFDBC" w:rsidR="00FB17EC" w:rsidRDefault="00FB17EC" w:rsidP="00A60426">
    <w:pPr>
      <w:pStyle w:val="Encabezado"/>
      <w:tabs>
        <w:tab w:val="center" w:pos="5670"/>
      </w:tabs>
      <w:rPr>
        <w:rFonts w:ascii="Times New Roman" w:hAnsi="Times New Roman"/>
        <w:snapToGrid w:val="0"/>
        <w:color w:val="000000"/>
        <w:w w:val="0"/>
        <w:sz w:val="0"/>
        <w:szCs w:val="0"/>
        <w:u w:color="000000"/>
        <w:bdr w:val="none" w:sz="0" w:space="0" w:color="000000"/>
        <w:shd w:val="clear" w:color="000000" w:fill="000000"/>
        <w:lang w:val="x-none" w:eastAsia="x-none" w:bidi="x-none"/>
      </w:rPr>
    </w:pPr>
    <w:r w:rsidRPr="00A47258">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5AF97421" w14:textId="77777777" w:rsidR="00FB17EC" w:rsidRPr="00F072E2" w:rsidRDefault="00FB17EC" w:rsidP="00F072E2">
    <w:pPr>
      <w:spacing w:before="100" w:beforeAutospacing="1" w:after="100" w:afterAutospacing="1"/>
      <w:rPr>
        <w:b/>
      </w:rPr>
    </w:pPr>
    <w:r w:rsidRPr="00C22D53">
      <w:rPr>
        <w:rFonts w:ascii="Times New Roman" w:eastAsia="Times New Roman" w:hAnsi="Times New Roman" w:cs="Times New Roman"/>
        <w:noProof/>
        <w:sz w:val="24"/>
        <w:szCs w:val="24"/>
        <w:lang w:val="fr-FR" w:eastAsia="fr-FR"/>
      </w:rPr>
      <w:drawing>
        <wp:anchor distT="0" distB="0" distL="114300" distR="114300" simplePos="0" relativeHeight="251659264" behindDoc="0" locked="0" layoutInCell="1" allowOverlap="1" wp14:anchorId="08E3A313" wp14:editId="0078C26B">
          <wp:simplePos x="0" y="0"/>
          <wp:positionH relativeFrom="column">
            <wp:posOffset>4577715</wp:posOffset>
          </wp:positionH>
          <wp:positionV relativeFrom="paragraph">
            <wp:posOffset>207645</wp:posOffset>
          </wp:positionV>
          <wp:extent cx="900430" cy="603250"/>
          <wp:effectExtent l="0" t="0" r="0" b="0"/>
          <wp:wrapSquare wrapText="bothSides"/>
          <wp:docPr id="2" name="Image 2" descr="C:\Users\Administrateur\Downloads\Strip de logos Euroclima - Expertise France - DUE Colombia -  transparenc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eur\Downloads\Strip de logos Euroclima - Expertise France - DUE Colombia -  transparencia.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79494" t="18160" b="23840"/>
                  <a:stretch/>
                </pic:blipFill>
                <pic:spPr bwMode="auto">
                  <a:xfrm>
                    <a:off x="0" y="0"/>
                    <a:ext cx="900430" cy="6032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22D53">
      <w:rPr>
        <w:rFonts w:ascii="Times New Roman" w:eastAsia="Times New Roman" w:hAnsi="Times New Roman" w:cs="Times New Roman"/>
        <w:noProof/>
        <w:sz w:val="24"/>
        <w:szCs w:val="24"/>
        <w:lang w:val="fr-FR" w:eastAsia="fr-FR"/>
      </w:rPr>
      <w:drawing>
        <wp:inline distT="0" distB="0" distL="0" distR="0" wp14:anchorId="59C1EAF9" wp14:editId="6DE5AAB1">
          <wp:extent cx="3364302" cy="828663"/>
          <wp:effectExtent l="0" t="0" r="0" b="0"/>
          <wp:docPr id="1" name="Image 1" descr="C:\Users\Administrateur\Downloads\Strip de logos Euroclima - Expertise France - DUE Colombia -  transparenc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eur\Downloads\Strip de logos Euroclima - Expertise France - DUE Colombia -  transparencia.pn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t="6289" r="21334" b="11984"/>
                  <a:stretch/>
                </pic:blipFill>
                <pic:spPr bwMode="auto">
                  <a:xfrm>
                    <a:off x="0" y="0"/>
                    <a:ext cx="3377592" cy="83193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B206B" w14:textId="77777777" w:rsidR="00FB17EC" w:rsidRDefault="00FB17EC" w:rsidP="005235FF">
    <w:pPr>
      <w:pStyle w:val="Encabezado"/>
      <w:tabs>
        <w:tab w:val="center" w:pos="5670"/>
      </w:tabs>
      <w:rPr>
        <w:b/>
        <w:bCs/>
      </w:rPr>
    </w:pPr>
    <w:r w:rsidRPr="00DB41B3">
      <w:rPr>
        <w:noProof/>
        <w:lang w:val="fr-FR" w:eastAsia="fr-FR"/>
      </w:rPr>
      <w:drawing>
        <wp:anchor distT="0" distB="0" distL="114300" distR="114300" simplePos="0" relativeHeight="251661312" behindDoc="0" locked="0" layoutInCell="1" allowOverlap="1" wp14:anchorId="2BA23768" wp14:editId="09346B39">
          <wp:simplePos x="0" y="0"/>
          <wp:positionH relativeFrom="column">
            <wp:posOffset>2224405</wp:posOffset>
          </wp:positionH>
          <wp:positionV relativeFrom="paragraph">
            <wp:posOffset>-116840</wp:posOffset>
          </wp:positionV>
          <wp:extent cx="1544196" cy="790575"/>
          <wp:effectExtent l="0" t="0" r="0" b="0"/>
          <wp:wrapNone/>
          <wp:docPr id="4" name="Image 4" descr="C:\Users\Expert\Desktop\2. Documentation\Expertise France\Procédures EF\Communication\EF\Logo Expertise France - Groupe AFD\Logo Expertise France - Fond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Desktop\2. Documentation\Expertise France\Procédures EF\Communication\EF\Logo Expertise France - Groupe AFD\Logo Expertise France - Fond blanc.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196" cy="790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7258">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A47258">
      <w:rPr>
        <w:b/>
        <w:bCs/>
        <w:noProof/>
        <w:lang w:val="fr-FR" w:eastAsia="fr-FR"/>
      </w:rPr>
      <w:drawing>
        <wp:inline distT="0" distB="0" distL="0" distR="0" wp14:anchorId="3B022666" wp14:editId="5C87F5D6">
          <wp:extent cx="2219325" cy="570387"/>
          <wp:effectExtent l="0" t="0" r="0" b="1270"/>
          <wp:docPr id="3" name="Image 3" descr="C:\Users\Expert\Desktop\2. Documentation\3. Transverse EC+\Communication\all-packet\ESP_Logo Euroclima\Full color\EUROCLIMA_horizontal 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Desktop\2. Documentation\3. Transverse EC+\Communication\all-packet\ESP_Logo Euroclima\Full color\EUROCLIMA_horizontal ES.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7782" cy="572561"/>
                  </a:xfrm>
                  <a:prstGeom prst="rect">
                    <a:avLst/>
                  </a:prstGeom>
                  <a:noFill/>
                  <a:ln>
                    <a:noFill/>
                  </a:ln>
                </pic:spPr>
              </pic:pic>
            </a:graphicData>
          </a:graphic>
        </wp:inline>
      </w:drawing>
    </w:r>
  </w:p>
  <w:p w14:paraId="4272C862" w14:textId="77777777" w:rsidR="00FB17EC" w:rsidRPr="00F072E2" w:rsidRDefault="00FB17EC" w:rsidP="00F072E2">
    <w:pPr>
      <w:pStyle w:val="Encabezado"/>
      <w:tabs>
        <w:tab w:val="center" w:pos="5670"/>
      </w:tab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7544A"/>
    <w:multiLevelType w:val="hybridMultilevel"/>
    <w:tmpl w:val="AC3033AE"/>
    <w:lvl w:ilvl="0" w:tplc="220EF6F8">
      <w:start w:val="1"/>
      <w:numFmt w:val="bullet"/>
      <w:lvlText w:val="–"/>
      <w:lvlJc w:val="left"/>
      <w:pPr>
        <w:ind w:left="720" w:hanging="360"/>
      </w:pPr>
    </w:lvl>
    <w:lvl w:ilvl="1" w:tplc="4FE2F366">
      <w:numFmt w:val="decimal"/>
      <w:lvlText w:val=""/>
      <w:lvlJc w:val="left"/>
    </w:lvl>
    <w:lvl w:ilvl="2" w:tplc="1D12A780">
      <w:numFmt w:val="decimal"/>
      <w:lvlText w:val=""/>
      <w:lvlJc w:val="left"/>
    </w:lvl>
    <w:lvl w:ilvl="3" w:tplc="758CEFEC">
      <w:numFmt w:val="decimal"/>
      <w:lvlText w:val=""/>
      <w:lvlJc w:val="left"/>
    </w:lvl>
    <w:lvl w:ilvl="4" w:tplc="F34C6D6C">
      <w:numFmt w:val="decimal"/>
      <w:lvlText w:val=""/>
      <w:lvlJc w:val="left"/>
    </w:lvl>
    <w:lvl w:ilvl="5" w:tplc="306868C4">
      <w:numFmt w:val="decimal"/>
      <w:lvlText w:val=""/>
      <w:lvlJc w:val="left"/>
    </w:lvl>
    <w:lvl w:ilvl="6" w:tplc="B94C0E06">
      <w:numFmt w:val="decimal"/>
      <w:lvlText w:val=""/>
      <w:lvlJc w:val="left"/>
    </w:lvl>
    <w:lvl w:ilvl="7" w:tplc="7302753A">
      <w:numFmt w:val="decimal"/>
      <w:lvlText w:val=""/>
      <w:lvlJc w:val="left"/>
    </w:lvl>
    <w:lvl w:ilvl="8" w:tplc="A2E23BEC">
      <w:numFmt w:val="decimal"/>
      <w:lvlText w:val=""/>
      <w:lvlJc w:val="left"/>
    </w:lvl>
  </w:abstractNum>
  <w:abstractNum w:abstractNumId="1" w15:restartNumberingAfterBreak="0">
    <w:nsid w:val="1E8F013C"/>
    <w:multiLevelType w:val="hybridMultilevel"/>
    <w:tmpl w:val="07E2AB4A"/>
    <w:lvl w:ilvl="0" w:tplc="C8062BA8">
      <w:start w:val="1"/>
      <w:numFmt w:val="bullet"/>
      <w:lvlText w:val="–"/>
      <w:lvlJc w:val="left"/>
      <w:pPr>
        <w:ind w:left="1080" w:hanging="360"/>
      </w:pPr>
    </w:lvl>
    <w:lvl w:ilvl="1" w:tplc="2626CD80">
      <w:numFmt w:val="decimal"/>
      <w:lvlText w:val=""/>
      <w:lvlJc w:val="left"/>
    </w:lvl>
    <w:lvl w:ilvl="2" w:tplc="3D02D8C2">
      <w:numFmt w:val="decimal"/>
      <w:lvlText w:val=""/>
      <w:lvlJc w:val="left"/>
    </w:lvl>
    <w:lvl w:ilvl="3" w:tplc="3372E238">
      <w:numFmt w:val="decimal"/>
      <w:lvlText w:val=""/>
      <w:lvlJc w:val="left"/>
    </w:lvl>
    <w:lvl w:ilvl="4" w:tplc="23BC5B46">
      <w:numFmt w:val="decimal"/>
      <w:lvlText w:val=""/>
      <w:lvlJc w:val="left"/>
    </w:lvl>
    <w:lvl w:ilvl="5" w:tplc="0BA8A548">
      <w:numFmt w:val="decimal"/>
      <w:lvlText w:val=""/>
      <w:lvlJc w:val="left"/>
    </w:lvl>
    <w:lvl w:ilvl="6" w:tplc="37284B4E">
      <w:numFmt w:val="decimal"/>
      <w:lvlText w:val=""/>
      <w:lvlJc w:val="left"/>
    </w:lvl>
    <w:lvl w:ilvl="7" w:tplc="42FE64A0">
      <w:numFmt w:val="decimal"/>
      <w:lvlText w:val=""/>
      <w:lvlJc w:val="left"/>
    </w:lvl>
    <w:lvl w:ilvl="8" w:tplc="CF904DF4">
      <w:numFmt w:val="decimal"/>
      <w:lvlText w:val=""/>
      <w:lvlJc w:val="left"/>
    </w:lvl>
  </w:abstractNum>
  <w:abstractNum w:abstractNumId="2" w15:restartNumberingAfterBreak="0">
    <w:nsid w:val="3B1B49AD"/>
    <w:multiLevelType w:val="hybridMultilevel"/>
    <w:tmpl w:val="67E06E34"/>
    <w:lvl w:ilvl="0" w:tplc="20F6D4CC">
      <w:start w:val="1"/>
      <w:numFmt w:val="bullet"/>
      <w:lvlText w:val=""/>
      <w:lvlJc w:val="left"/>
      <w:pPr>
        <w:ind w:left="1080" w:hanging="360"/>
      </w:pPr>
      <w:rPr>
        <w:rFonts w:ascii="Symbol" w:hAnsi="Symbol"/>
      </w:rPr>
    </w:lvl>
    <w:lvl w:ilvl="1" w:tplc="3AC62FD8">
      <w:start w:val="1"/>
      <w:numFmt w:val="bullet"/>
      <w:lvlText w:val=""/>
      <w:lvlJc w:val="left"/>
      <w:pPr>
        <w:ind w:left="1080" w:hanging="360"/>
      </w:pPr>
      <w:rPr>
        <w:rFonts w:ascii="Symbol" w:hAnsi="Symbol"/>
      </w:rPr>
    </w:lvl>
    <w:lvl w:ilvl="2" w:tplc="C2EC6FD4">
      <w:start w:val="1"/>
      <w:numFmt w:val="bullet"/>
      <w:lvlText w:val=""/>
      <w:lvlJc w:val="left"/>
      <w:pPr>
        <w:ind w:left="1080" w:hanging="360"/>
      </w:pPr>
      <w:rPr>
        <w:rFonts w:ascii="Symbol" w:hAnsi="Symbol"/>
      </w:rPr>
    </w:lvl>
    <w:lvl w:ilvl="3" w:tplc="8D50CE80">
      <w:start w:val="1"/>
      <w:numFmt w:val="bullet"/>
      <w:lvlText w:val=""/>
      <w:lvlJc w:val="left"/>
      <w:pPr>
        <w:ind w:left="1080" w:hanging="360"/>
      </w:pPr>
      <w:rPr>
        <w:rFonts w:ascii="Symbol" w:hAnsi="Symbol"/>
      </w:rPr>
    </w:lvl>
    <w:lvl w:ilvl="4" w:tplc="BCFA71E4">
      <w:start w:val="1"/>
      <w:numFmt w:val="bullet"/>
      <w:lvlText w:val=""/>
      <w:lvlJc w:val="left"/>
      <w:pPr>
        <w:ind w:left="1080" w:hanging="360"/>
      </w:pPr>
      <w:rPr>
        <w:rFonts w:ascii="Symbol" w:hAnsi="Symbol"/>
      </w:rPr>
    </w:lvl>
    <w:lvl w:ilvl="5" w:tplc="C2D4CCAE">
      <w:start w:val="1"/>
      <w:numFmt w:val="bullet"/>
      <w:lvlText w:val=""/>
      <w:lvlJc w:val="left"/>
      <w:pPr>
        <w:ind w:left="1080" w:hanging="360"/>
      </w:pPr>
      <w:rPr>
        <w:rFonts w:ascii="Symbol" w:hAnsi="Symbol"/>
      </w:rPr>
    </w:lvl>
    <w:lvl w:ilvl="6" w:tplc="E21E368C">
      <w:start w:val="1"/>
      <w:numFmt w:val="bullet"/>
      <w:lvlText w:val=""/>
      <w:lvlJc w:val="left"/>
      <w:pPr>
        <w:ind w:left="1080" w:hanging="360"/>
      </w:pPr>
      <w:rPr>
        <w:rFonts w:ascii="Symbol" w:hAnsi="Symbol"/>
      </w:rPr>
    </w:lvl>
    <w:lvl w:ilvl="7" w:tplc="FF8AF4CE">
      <w:start w:val="1"/>
      <w:numFmt w:val="bullet"/>
      <w:lvlText w:val=""/>
      <w:lvlJc w:val="left"/>
      <w:pPr>
        <w:ind w:left="1080" w:hanging="360"/>
      </w:pPr>
      <w:rPr>
        <w:rFonts w:ascii="Symbol" w:hAnsi="Symbol"/>
      </w:rPr>
    </w:lvl>
    <w:lvl w:ilvl="8" w:tplc="3836F588">
      <w:start w:val="1"/>
      <w:numFmt w:val="bullet"/>
      <w:lvlText w:val=""/>
      <w:lvlJc w:val="left"/>
      <w:pPr>
        <w:ind w:left="1080" w:hanging="360"/>
      </w:pPr>
      <w:rPr>
        <w:rFonts w:ascii="Symbol" w:hAnsi="Symbol"/>
      </w:rPr>
    </w:lvl>
  </w:abstractNum>
  <w:abstractNum w:abstractNumId="3" w15:restartNumberingAfterBreak="0">
    <w:nsid w:val="74CB53A2"/>
    <w:multiLevelType w:val="hybridMultilevel"/>
    <w:tmpl w:val="7466E39A"/>
    <w:lvl w:ilvl="0" w:tplc="3BF694AE">
      <w:start w:val="1"/>
      <w:numFmt w:val="bullet"/>
      <w:pStyle w:val="Listaconvietas"/>
      <w:lvlText w:val="●"/>
      <w:lvlJc w:val="left"/>
      <w:pPr>
        <w:ind w:left="720" w:hanging="360"/>
      </w:pPr>
    </w:lvl>
    <w:lvl w:ilvl="1" w:tplc="76587A28">
      <w:start w:val="1"/>
      <w:numFmt w:val="bullet"/>
      <w:lvlText w:val="○"/>
      <w:lvlJc w:val="left"/>
      <w:pPr>
        <w:ind w:left="1440" w:hanging="360"/>
      </w:pPr>
    </w:lvl>
    <w:lvl w:ilvl="2" w:tplc="AC3ABF58">
      <w:start w:val="1"/>
      <w:numFmt w:val="bullet"/>
      <w:lvlText w:val="■"/>
      <w:lvlJc w:val="left"/>
      <w:pPr>
        <w:ind w:left="2160" w:hanging="360"/>
      </w:pPr>
    </w:lvl>
    <w:lvl w:ilvl="3" w:tplc="2334E19A">
      <w:start w:val="1"/>
      <w:numFmt w:val="bullet"/>
      <w:lvlText w:val="●"/>
      <w:lvlJc w:val="left"/>
      <w:pPr>
        <w:ind w:left="2880" w:hanging="360"/>
      </w:pPr>
    </w:lvl>
    <w:lvl w:ilvl="4" w:tplc="8CD2D374">
      <w:start w:val="1"/>
      <w:numFmt w:val="bullet"/>
      <w:lvlText w:val="○"/>
      <w:lvlJc w:val="left"/>
      <w:pPr>
        <w:ind w:left="3600" w:hanging="360"/>
      </w:pPr>
    </w:lvl>
    <w:lvl w:ilvl="5" w:tplc="A8E02DB6">
      <w:start w:val="1"/>
      <w:numFmt w:val="bullet"/>
      <w:lvlText w:val="■"/>
      <w:lvlJc w:val="left"/>
      <w:pPr>
        <w:ind w:left="4320" w:hanging="360"/>
      </w:pPr>
    </w:lvl>
    <w:lvl w:ilvl="6" w:tplc="F69C4D78">
      <w:start w:val="1"/>
      <w:numFmt w:val="bullet"/>
      <w:lvlText w:val="●"/>
      <w:lvlJc w:val="left"/>
      <w:pPr>
        <w:ind w:left="5040" w:hanging="360"/>
      </w:pPr>
    </w:lvl>
    <w:lvl w:ilvl="7" w:tplc="57DA98DE">
      <w:start w:val="1"/>
      <w:numFmt w:val="bullet"/>
      <w:lvlText w:val="●"/>
      <w:lvlJc w:val="left"/>
      <w:pPr>
        <w:ind w:left="5760" w:hanging="360"/>
      </w:pPr>
    </w:lvl>
    <w:lvl w:ilvl="8" w:tplc="10200550">
      <w:start w:val="1"/>
      <w:numFmt w:val="bullet"/>
      <w:lvlText w:val="●"/>
      <w:lvlJc w:val="left"/>
      <w:pPr>
        <w:ind w:left="6480" w:hanging="360"/>
      </w:pPr>
    </w:lvl>
  </w:abstractNum>
  <w:num w:numId="1" w16cid:durableId="2142074325">
    <w:abstractNumId w:val="3"/>
    <w:lvlOverride w:ilvl="0">
      <w:startOverride w:val="1"/>
    </w:lvlOverride>
  </w:num>
  <w:num w:numId="2" w16cid:durableId="1471433212">
    <w:abstractNumId w:val="0"/>
    <w:lvlOverride w:ilvl="0">
      <w:startOverride w:val="1"/>
    </w:lvlOverride>
  </w:num>
  <w:num w:numId="3" w16cid:durableId="1272935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CAF"/>
    <w:rsid w:val="00000327"/>
    <w:rsid w:val="00001088"/>
    <w:rsid w:val="00006BD7"/>
    <w:rsid w:val="00007643"/>
    <w:rsid w:val="0001087E"/>
    <w:rsid w:val="00013F68"/>
    <w:rsid w:val="00015D82"/>
    <w:rsid w:val="000208AF"/>
    <w:rsid w:val="00020973"/>
    <w:rsid w:val="00022FD2"/>
    <w:rsid w:val="00026EC7"/>
    <w:rsid w:val="00027700"/>
    <w:rsid w:val="00027CB8"/>
    <w:rsid w:val="00031B31"/>
    <w:rsid w:val="00031C6B"/>
    <w:rsid w:val="00035E22"/>
    <w:rsid w:val="00040EE9"/>
    <w:rsid w:val="00043819"/>
    <w:rsid w:val="0004577C"/>
    <w:rsid w:val="000468BA"/>
    <w:rsid w:val="00047F5C"/>
    <w:rsid w:val="000501B3"/>
    <w:rsid w:val="000519B2"/>
    <w:rsid w:val="00051AF8"/>
    <w:rsid w:val="0005338A"/>
    <w:rsid w:val="0006245E"/>
    <w:rsid w:val="00064EB4"/>
    <w:rsid w:val="000678BA"/>
    <w:rsid w:val="00067ED8"/>
    <w:rsid w:val="000700BA"/>
    <w:rsid w:val="00072733"/>
    <w:rsid w:val="00081370"/>
    <w:rsid w:val="00081BFF"/>
    <w:rsid w:val="00081FAE"/>
    <w:rsid w:val="00082DD6"/>
    <w:rsid w:val="000845A9"/>
    <w:rsid w:val="00090D71"/>
    <w:rsid w:val="0009242B"/>
    <w:rsid w:val="00093769"/>
    <w:rsid w:val="00095F29"/>
    <w:rsid w:val="000A6A42"/>
    <w:rsid w:val="000B0D04"/>
    <w:rsid w:val="000B144A"/>
    <w:rsid w:val="000B2325"/>
    <w:rsid w:val="000B2C08"/>
    <w:rsid w:val="000B5DFD"/>
    <w:rsid w:val="000B7517"/>
    <w:rsid w:val="000C1993"/>
    <w:rsid w:val="000C57DF"/>
    <w:rsid w:val="000C5B74"/>
    <w:rsid w:val="000C5DCF"/>
    <w:rsid w:val="000D0724"/>
    <w:rsid w:val="000D2CDC"/>
    <w:rsid w:val="000D4A39"/>
    <w:rsid w:val="000E040A"/>
    <w:rsid w:val="000E106A"/>
    <w:rsid w:val="000E12C3"/>
    <w:rsid w:val="000E2109"/>
    <w:rsid w:val="000E34E1"/>
    <w:rsid w:val="000E4991"/>
    <w:rsid w:val="000E58B2"/>
    <w:rsid w:val="000E5FC6"/>
    <w:rsid w:val="000E616C"/>
    <w:rsid w:val="000F0C0D"/>
    <w:rsid w:val="000F27E8"/>
    <w:rsid w:val="000F40BB"/>
    <w:rsid w:val="000F5A2A"/>
    <w:rsid w:val="000F7F69"/>
    <w:rsid w:val="00101484"/>
    <w:rsid w:val="00102D00"/>
    <w:rsid w:val="00102D8C"/>
    <w:rsid w:val="00104E77"/>
    <w:rsid w:val="00105369"/>
    <w:rsid w:val="00110B91"/>
    <w:rsid w:val="001177B6"/>
    <w:rsid w:val="00117E5E"/>
    <w:rsid w:val="00120919"/>
    <w:rsid w:val="001240BA"/>
    <w:rsid w:val="001255FF"/>
    <w:rsid w:val="001263E8"/>
    <w:rsid w:val="001300A5"/>
    <w:rsid w:val="00134D9C"/>
    <w:rsid w:val="00136685"/>
    <w:rsid w:val="001418C8"/>
    <w:rsid w:val="0014322A"/>
    <w:rsid w:val="00144518"/>
    <w:rsid w:val="0014516B"/>
    <w:rsid w:val="0015128E"/>
    <w:rsid w:val="0015238D"/>
    <w:rsid w:val="00154C5A"/>
    <w:rsid w:val="0015563F"/>
    <w:rsid w:val="001630DD"/>
    <w:rsid w:val="00163424"/>
    <w:rsid w:val="001668F0"/>
    <w:rsid w:val="00166A68"/>
    <w:rsid w:val="001717BE"/>
    <w:rsid w:val="00173239"/>
    <w:rsid w:val="00176140"/>
    <w:rsid w:val="001766DC"/>
    <w:rsid w:val="001802B7"/>
    <w:rsid w:val="00181064"/>
    <w:rsid w:val="001838A7"/>
    <w:rsid w:val="00184101"/>
    <w:rsid w:val="00184ADE"/>
    <w:rsid w:val="00191D05"/>
    <w:rsid w:val="00192F39"/>
    <w:rsid w:val="00194FA4"/>
    <w:rsid w:val="0019644A"/>
    <w:rsid w:val="00196A1C"/>
    <w:rsid w:val="0019724D"/>
    <w:rsid w:val="001A05CB"/>
    <w:rsid w:val="001A2DBD"/>
    <w:rsid w:val="001A3BE4"/>
    <w:rsid w:val="001A5912"/>
    <w:rsid w:val="001A5D6A"/>
    <w:rsid w:val="001A7484"/>
    <w:rsid w:val="001B0779"/>
    <w:rsid w:val="001B0CA8"/>
    <w:rsid w:val="001B1BC9"/>
    <w:rsid w:val="001B2417"/>
    <w:rsid w:val="001B77B7"/>
    <w:rsid w:val="001C20D8"/>
    <w:rsid w:val="001C67B1"/>
    <w:rsid w:val="001D3215"/>
    <w:rsid w:val="001D4B38"/>
    <w:rsid w:val="001D61D8"/>
    <w:rsid w:val="001E048B"/>
    <w:rsid w:val="001E06CC"/>
    <w:rsid w:val="001E0921"/>
    <w:rsid w:val="001E0D94"/>
    <w:rsid w:val="001E15C3"/>
    <w:rsid w:val="001E3DA8"/>
    <w:rsid w:val="001E6BA1"/>
    <w:rsid w:val="001E7B0F"/>
    <w:rsid w:val="001E7CA2"/>
    <w:rsid w:val="001F2109"/>
    <w:rsid w:val="001F34E6"/>
    <w:rsid w:val="001F4071"/>
    <w:rsid w:val="001F41C3"/>
    <w:rsid w:val="001F5EFD"/>
    <w:rsid w:val="00200553"/>
    <w:rsid w:val="00204C31"/>
    <w:rsid w:val="00213815"/>
    <w:rsid w:val="00214D51"/>
    <w:rsid w:val="00215641"/>
    <w:rsid w:val="00215BC1"/>
    <w:rsid w:val="00215D06"/>
    <w:rsid w:val="00220526"/>
    <w:rsid w:val="00225719"/>
    <w:rsid w:val="00227CDB"/>
    <w:rsid w:val="002308E7"/>
    <w:rsid w:val="002316E9"/>
    <w:rsid w:val="00232E98"/>
    <w:rsid w:val="00234DCB"/>
    <w:rsid w:val="002359CD"/>
    <w:rsid w:val="0023686A"/>
    <w:rsid w:val="00237769"/>
    <w:rsid w:val="00240240"/>
    <w:rsid w:val="00241297"/>
    <w:rsid w:val="00241B28"/>
    <w:rsid w:val="0024347E"/>
    <w:rsid w:val="0024392C"/>
    <w:rsid w:val="00243F90"/>
    <w:rsid w:val="0024565D"/>
    <w:rsid w:val="00247DBF"/>
    <w:rsid w:val="002505EC"/>
    <w:rsid w:val="002558C4"/>
    <w:rsid w:val="002560DB"/>
    <w:rsid w:val="002576BC"/>
    <w:rsid w:val="00262F1B"/>
    <w:rsid w:val="002631B5"/>
    <w:rsid w:val="00263BE6"/>
    <w:rsid w:val="0026519A"/>
    <w:rsid w:val="00270717"/>
    <w:rsid w:val="002707A7"/>
    <w:rsid w:val="00273322"/>
    <w:rsid w:val="00273D34"/>
    <w:rsid w:val="00273D4A"/>
    <w:rsid w:val="002744C5"/>
    <w:rsid w:val="00276AF3"/>
    <w:rsid w:val="0027748B"/>
    <w:rsid w:val="002820A0"/>
    <w:rsid w:val="00282145"/>
    <w:rsid w:val="002873C7"/>
    <w:rsid w:val="002927F4"/>
    <w:rsid w:val="00293843"/>
    <w:rsid w:val="00293A8F"/>
    <w:rsid w:val="002947BB"/>
    <w:rsid w:val="002A0A3B"/>
    <w:rsid w:val="002B1B7E"/>
    <w:rsid w:val="002B43DA"/>
    <w:rsid w:val="002C0A69"/>
    <w:rsid w:val="002C40F1"/>
    <w:rsid w:val="002D25D1"/>
    <w:rsid w:val="002D38CA"/>
    <w:rsid w:val="002D4E26"/>
    <w:rsid w:val="002D6C88"/>
    <w:rsid w:val="002E081D"/>
    <w:rsid w:val="002E160A"/>
    <w:rsid w:val="002E195C"/>
    <w:rsid w:val="002E55FC"/>
    <w:rsid w:val="002E6296"/>
    <w:rsid w:val="002F0C7B"/>
    <w:rsid w:val="002F3BD1"/>
    <w:rsid w:val="002F3DCB"/>
    <w:rsid w:val="002F4D3B"/>
    <w:rsid w:val="002F6E20"/>
    <w:rsid w:val="002F70A8"/>
    <w:rsid w:val="002F7524"/>
    <w:rsid w:val="00302FFF"/>
    <w:rsid w:val="003036AC"/>
    <w:rsid w:val="00304E51"/>
    <w:rsid w:val="00313289"/>
    <w:rsid w:val="00313C84"/>
    <w:rsid w:val="00313D19"/>
    <w:rsid w:val="00317732"/>
    <w:rsid w:val="00320182"/>
    <w:rsid w:val="003249A8"/>
    <w:rsid w:val="00327345"/>
    <w:rsid w:val="00332042"/>
    <w:rsid w:val="003337B1"/>
    <w:rsid w:val="003340F1"/>
    <w:rsid w:val="0033511D"/>
    <w:rsid w:val="00335F04"/>
    <w:rsid w:val="00337017"/>
    <w:rsid w:val="00342361"/>
    <w:rsid w:val="00352E63"/>
    <w:rsid w:val="00356785"/>
    <w:rsid w:val="00360EA4"/>
    <w:rsid w:val="00361E9B"/>
    <w:rsid w:val="00363BD9"/>
    <w:rsid w:val="003653EA"/>
    <w:rsid w:val="00374DD5"/>
    <w:rsid w:val="00377350"/>
    <w:rsid w:val="00377944"/>
    <w:rsid w:val="00377A2A"/>
    <w:rsid w:val="00384974"/>
    <w:rsid w:val="003852DE"/>
    <w:rsid w:val="00385354"/>
    <w:rsid w:val="00385A87"/>
    <w:rsid w:val="003907F4"/>
    <w:rsid w:val="0039164E"/>
    <w:rsid w:val="00392E51"/>
    <w:rsid w:val="003950C7"/>
    <w:rsid w:val="003973C5"/>
    <w:rsid w:val="003A413C"/>
    <w:rsid w:val="003A54D1"/>
    <w:rsid w:val="003A76D9"/>
    <w:rsid w:val="003A7779"/>
    <w:rsid w:val="003A7DF9"/>
    <w:rsid w:val="003B130B"/>
    <w:rsid w:val="003B433B"/>
    <w:rsid w:val="003B54A0"/>
    <w:rsid w:val="003B6A0E"/>
    <w:rsid w:val="003C2755"/>
    <w:rsid w:val="003C3F8D"/>
    <w:rsid w:val="003C3FB6"/>
    <w:rsid w:val="003C60A8"/>
    <w:rsid w:val="003D035A"/>
    <w:rsid w:val="003D3232"/>
    <w:rsid w:val="003D5879"/>
    <w:rsid w:val="003D71A2"/>
    <w:rsid w:val="003D7A3D"/>
    <w:rsid w:val="003E0E95"/>
    <w:rsid w:val="003E3CFC"/>
    <w:rsid w:val="003E57F6"/>
    <w:rsid w:val="003E6582"/>
    <w:rsid w:val="003E6F11"/>
    <w:rsid w:val="003E7972"/>
    <w:rsid w:val="003F2957"/>
    <w:rsid w:val="003F2C52"/>
    <w:rsid w:val="003F5CB8"/>
    <w:rsid w:val="003F60AD"/>
    <w:rsid w:val="00404792"/>
    <w:rsid w:val="0040491F"/>
    <w:rsid w:val="0040528F"/>
    <w:rsid w:val="00405D30"/>
    <w:rsid w:val="00405DD7"/>
    <w:rsid w:val="0040781F"/>
    <w:rsid w:val="00410795"/>
    <w:rsid w:val="00413441"/>
    <w:rsid w:val="00420802"/>
    <w:rsid w:val="004226FC"/>
    <w:rsid w:val="00426967"/>
    <w:rsid w:val="00426FCA"/>
    <w:rsid w:val="0042767E"/>
    <w:rsid w:val="00430BE2"/>
    <w:rsid w:val="00430C42"/>
    <w:rsid w:val="004316F9"/>
    <w:rsid w:val="004318C4"/>
    <w:rsid w:val="00432AF0"/>
    <w:rsid w:val="004331F6"/>
    <w:rsid w:val="00433CF4"/>
    <w:rsid w:val="00433F8E"/>
    <w:rsid w:val="004340BE"/>
    <w:rsid w:val="00435358"/>
    <w:rsid w:val="00436EF5"/>
    <w:rsid w:val="00440096"/>
    <w:rsid w:val="004409A6"/>
    <w:rsid w:val="00441216"/>
    <w:rsid w:val="00442066"/>
    <w:rsid w:val="004437E7"/>
    <w:rsid w:val="00443FED"/>
    <w:rsid w:val="00446AFD"/>
    <w:rsid w:val="00447596"/>
    <w:rsid w:val="00447C9A"/>
    <w:rsid w:val="00450831"/>
    <w:rsid w:val="004511B4"/>
    <w:rsid w:val="004518F9"/>
    <w:rsid w:val="00454DFD"/>
    <w:rsid w:val="00455351"/>
    <w:rsid w:val="00457974"/>
    <w:rsid w:val="00460CB1"/>
    <w:rsid w:val="0046132E"/>
    <w:rsid w:val="00462698"/>
    <w:rsid w:val="00463ACA"/>
    <w:rsid w:val="00464397"/>
    <w:rsid w:val="00465601"/>
    <w:rsid w:val="00472160"/>
    <w:rsid w:val="004723A1"/>
    <w:rsid w:val="00472CB8"/>
    <w:rsid w:val="0047558E"/>
    <w:rsid w:val="00480284"/>
    <w:rsid w:val="0048139A"/>
    <w:rsid w:val="0048339E"/>
    <w:rsid w:val="004841A5"/>
    <w:rsid w:val="004844C2"/>
    <w:rsid w:val="00484CBD"/>
    <w:rsid w:val="00485866"/>
    <w:rsid w:val="00485FC1"/>
    <w:rsid w:val="00490C29"/>
    <w:rsid w:val="00491812"/>
    <w:rsid w:val="00492A7F"/>
    <w:rsid w:val="004933D0"/>
    <w:rsid w:val="00494248"/>
    <w:rsid w:val="0049710C"/>
    <w:rsid w:val="004A5C39"/>
    <w:rsid w:val="004A5C8E"/>
    <w:rsid w:val="004B74CA"/>
    <w:rsid w:val="004C209E"/>
    <w:rsid w:val="004C2E0A"/>
    <w:rsid w:val="004C3B7D"/>
    <w:rsid w:val="004C508D"/>
    <w:rsid w:val="004C5754"/>
    <w:rsid w:val="004C5799"/>
    <w:rsid w:val="004D51A0"/>
    <w:rsid w:val="004D6057"/>
    <w:rsid w:val="004D6363"/>
    <w:rsid w:val="004D6778"/>
    <w:rsid w:val="004E1573"/>
    <w:rsid w:val="004E2012"/>
    <w:rsid w:val="004E2545"/>
    <w:rsid w:val="004E3831"/>
    <w:rsid w:val="004E3C5E"/>
    <w:rsid w:val="004F179B"/>
    <w:rsid w:val="004F3E95"/>
    <w:rsid w:val="004F4162"/>
    <w:rsid w:val="004F5799"/>
    <w:rsid w:val="004F67AD"/>
    <w:rsid w:val="004F6BCC"/>
    <w:rsid w:val="004F7146"/>
    <w:rsid w:val="00500512"/>
    <w:rsid w:val="005015A4"/>
    <w:rsid w:val="005024F7"/>
    <w:rsid w:val="0050592C"/>
    <w:rsid w:val="005064FC"/>
    <w:rsid w:val="00506FA7"/>
    <w:rsid w:val="005078C7"/>
    <w:rsid w:val="005109B6"/>
    <w:rsid w:val="00510BB7"/>
    <w:rsid w:val="00515FCC"/>
    <w:rsid w:val="0051657C"/>
    <w:rsid w:val="00516A83"/>
    <w:rsid w:val="0052142C"/>
    <w:rsid w:val="005235FF"/>
    <w:rsid w:val="00525522"/>
    <w:rsid w:val="0052564D"/>
    <w:rsid w:val="005256B0"/>
    <w:rsid w:val="005262E7"/>
    <w:rsid w:val="00526815"/>
    <w:rsid w:val="00530A86"/>
    <w:rsid w:val="00531294"/>
    <w:rsid w:val="005354B7"/>
    <w:rsid w:val="0053584A"/>
    <w:rsid w:val="0054228B"/>
    <w:rsid w:val="00544A28"/>
    <w:rsid w:val="00544A79"/>
    <w:rsid w:val="005525AA"/>
    <w:rsid w:val="00552B32"/>
    <w:rsid w:val="0055405D"/>
    <w:rsid w:val="005543DD"/>
    <w:rsid w:val="00555ED2"/>
    <w:rsid w:val="00557F01"/>
    <w:rsid w:val="00561014"/>
    <w:rsid w:val="005629E4"/>
    <w:rsid w:val="00562EB6"/>
    <w:rsid w:val="00564B84"/>
    <w:rsid w:val="0056556D"/>
    <w:rsid w:val="005659E5"/>
    <w:rsid w:val="00565F3E"/>
    <w:rsid w:val="00566CCB"/>
    <w:rsid w:val="00567CAF"/>
    <w:rsid w:val="00570988"/>
    <w:rsid w:val="0057110D"/>
    <w:rsid w:val="00571DA3"/>
    <w:rsid w:val="00574591"/>
    <w:rsid w:val="00575E56"/>
    <w:rsid w:val="0058251A"/>
    <w:rsid w:val="005833CA"/>
    <w:rsid w:val="00583FD9"/>
    <w:rsid w:val="00585031"/>
    <w:rsid w:val="00592382"/>
    <w:rsid w:val="00594163"/>
    <w:rsid w:val="00595F48"/>
    <w:rsid w:val="005A1B14"/>
    <w:rsid w:val="005A51E2"/>
    <w:rsid w:val="005A6E9D"/>
    <w:rsid w:val="005A7B01"/>
    <w:rsid w:val="005B19CB"/>
    <w:rsid w:val="005B1BE4"/>
    <w:rsid w:val="005B4F11"/>
    <w:rsid w:val="005B60DC"/>
    <w:rsid w:val="005B6919"/>
    <w:rsid w:val="005B75E0"/>
    <w:rsid w:val="005B7BAA"/>
    <w:rsid w:val="005C00F4"/>
    <w:rsid w:val="005C095B"/>
    <w:rsid w:val="005C2279"/>
    <w:rsid w:val="005C2729"/>
    <w:rsid w:val="005C473C"/>
    <w:rsid w:val="005C4EE0"/>
    <w:rsid w:val="005C6E59"/>
    <w:rsid w:val="005D0D5F"/>
    <w:rsid w:val="005D3521"/>
    <w:rsid w:val="005D4384"/>
    <w:rsid w:val="005D4421"/>
    <w:rsid w:val="005D68AB"/>
    <w:rsid w:val="005D7FD4"/>
    <w:rsid w:val="005E2FC0"/>
    <w:rsid w:val="005E329C"/>
    <w:rsid w:val="005E50BB"/>
    <w:rsid w:val="005E5AF3"/>
    <w:rsid w:val="005E6D6B"/>
    <w:rsid w:val="005E78C2"/>
    <w:rsid w:val="005F1E3B"/>
    <w:rsid w:val="005F1FCB"/>
    <w:rsid w:val="005F474F"/>
    <w:rsid w:val="00600B4E"/>
    <w:rsid w:val="00602FD5"/>
    <w:rsid w:val="00603AE2"/>
    <w:rsid w:val="0060422A"/>
    <w:rsid w:val="006044E1"/>
    <w:rsid w:val="00605F93"/>
    <w:rsid w:val="0060684E"/>
    <w:rsid w:val="00607225"/>
    <w:rsid w:val="00607E3D"/>
    <w:rsid w:val="00611A2B"/>
    <w:rsid w:val="00611F8D"/>
    <w:rsid w:val="00620BD5"/>
    <w:rsid w:val="00621046"/>
    <w:rsid w:val="00630863"/>
    <w:rsid w:val="0063512E"/>
    <w:rsid w:val="00635CDE"/>
    <w:rsid w:val="00640B67"/>
    <w:rsid w:val="00641623"/>
    <w:rsid w:val="00641AA8"/>
    <w:rsid w:val="00644546"/>
    <w:rsid w:val="006510AB"/>
    <w:rsid w:val="00652318"/>
    <w:rsid w:val="00657AD8"/>
    <w:rsid w:val="0066011E"/>
    <w:rsid w:val="00660501"/>
    <w:rsid w:val="00665758"/>
    <w:rsid w:val="00672AFB"/>
    <w:rsid w:val="00672C95"/>
    <w:rsid w:val="00673A68"/>
    <w:rsid w:val="00675CC9"/>
    <w:rsid w:val="00676193"/>
    <w:rsid w:val="00680B9B"/>
    <w:rsid w:val="006831A4"/>
    <w:rsid w:val="0068355E"/>
    <w:rsid w:val="00683967"/>
    <w:rsid w:val="00684EAF"/>
    <w:rsid w:val="00686C0D"/>
    <w:rsid w:val="006941BE"/>
    <w:rsid w:val="00695074"/>
    <w:rsid w:val="006A155E"/>
    <w:rsid w:val="006A171D"/>
    <w:rsid w:val="006A4128"/>
    <w:rsid w:val="006A7954"/>
    <w:rsid w:val="006B37F1"/>
    <w:rsid w:val="006B7F32"/>
    <w:rsid w:val="006C5972"/>
    <w:rsid w:val="006D18FC"/>
    <w:rsid w:val="006D1D30"/>
    <w:rsid w:val="006D2026"/>
    <w:rsid w:val="006D263F"/>
    <w:rsid w:val="006D3539"/>
    <w:rsid w:val="006D4D93"/>
    <w:rsid w:val="006D5D24"/>
    <w:rsid w:val="006D7D5B"/>
    <w:rsid w:val="006E00E3"/>
    <w:rsid w:val="006E0852"/>
    <w:rsid w:val="006E0E6E"/>
    <w:rsid w:val="006E1E55"/>
    <w:rsid w:val="006E5B7E"/>
    <w:rsid w:val="006E7966"/>
    <w:rsid w:val="006E7CB0"/>
    <w:rsid w:val="006F0B28"/>
    <w:rsid w:val="006F14B4"/>
    <w:rsid w:val="006F2490"/>
    <w:rsid w:val="006F40FC"/>
    <w:rsid w:val="006F470F"/>
    <w:rsid w:val="006F4D6A"/>
    <w:rsid w:val="006F5965"/>
    <w:rsid w:val="006F5F66"/>
    <w:rsid w:val="00700C2E"/>
    <w:rsid w:val="00700DBD"/>
    <w:rsid w:val="00700F8C"/>
    <w:rsid w:val="007010EF"/>
    <w:rsid w:val="00703AFD"/>
    <w:rsid w:val="0070431A"/>
    <w:rsid w:val="00705867"/>
    <w:rsid w:val="00706208"/>
    <w:rsid w:val="00707382"/>
    <w:rsid w:val="00707CBF"/>
    <w:rsid w:val="0071314C"/>
    <w:rsid w:val="00715B05"/>
    <w:rsid w:val="00715EBB"/>
    <w:rsid w:val="0072036B"/>
    <w:rsid w:val="007233B1"/>
    <w:rsid w:val="00723C81"/>
    <w:rsid w:val="00730764"/>
    <w:rsid w:val="007320F2"/>
    <w:rsid w:val="00733A6E"/>
    <w:rsid w:val="0073515A"/>
    <w:rsid w:val="00736087"/>
    <w:rsid w:val="00737396"/>
    <w:rsid w:val="00740604"/>
    <w:rsid w:val="007432BE"/>
    <w:rsid w:val="00743461"/>
    <w:rsid w:val="00745E28"/>
    <w:rsid w:val="00746750"/>
    <w:rsid w:val="00746BC4"/>
    <w:rsid w:val="00754A5B"/>
    <w:rsid w:val="00756B5E"/>
    <w:rsid w:val="007617AE"/>
    <w:rsid w:val="00761F44"/>
    <w:rsid w:val="00762BF6"/>
    <w:rsid w:val="00763301"/>
    <w:rsid w:val="00763E3E"/>
    <w:rsid w:val="007658C5"/>
    <w:rsid w:val="00765D9C"/>
    <w:rsid w:val="00771563"/>
    <w:rsid w:val="00773014"/>
    <w:rsid w:val="00773F92"/>
    <w:rsid w:val="007766D8"/>
    <w:rsid w:val="0078061D"/>
    <w:rsid w:val="00781CA4"/>
    <w:rsid w:val="00781E27"/>
    <w:rsid w:val="00783084"/>
    <w:rsid w:val="0078319A"/>
    <w:rsid w:val="00783A37"/>
    <w:rsid w:val="00784958"/>
    <w:rsid w:val="00784AC6"/>
    <w:rsid w:val="00790802"/>
    <w:rsid w:val="00794393"/>
    <w:rsid w:val="007966F3"/>
    <w:rsid w:val="007A2132"/>
    <w:rsid w:val="007A3912"/>
    <w:rsid w:val="007A4DF0"/>
    <w:rsid w:val="007A626C"/>
    <w:rsid w:val="007A6B98"/>
    <w:rsid w:val="007B0A20"/>
    <w:rsid w:val="007B26BA"/>
    <w:rsid w:val="007B27D0"/>
    <w:rsid w:val="007B35B3"/>
    <w:rsid w:val="007B43EB"/>
    <w:rsid w:val="007B5AC3"/>
    <w:rsid w:val="007C2250"/>
    <w:rsid w:val="007C4BAC"/>
    <w:rsid w:val="007D1FBB"/>
    <w:rsid w:val="007D79D9"/>
    <w:rsid w:val="007E0445"/>
    <w:rsid w:val="007E06C0"/>
    <w:rsid w:val="007E0736"/>
    <w:rsid w:val="007E1E73"/>
    <w:rsid w:val="007E22E7"/>
    <w:rsid w:val="007E3F1A"/>
    <w:rsid w:val="007E4135"/>
    <w:rsid w:val="007E7B2B"/>
    <w:rsid w:val="007E7DF6"/>
    <w:rsid w:val="007F1653"/>
    <w:rsid w:val="007F204D"/>
    <w:rsid w:val="007F4041"/>
    <w:rsid w:val="007F5289"/>
    <w:rsid w:val="007F691F"/>
    <w:rsid w:val="007F6B65"/>
    <w:rsid w:val="007F788E"/>
    <w:rsid w:val="008029AF"/>
    <w:rsid w:val="008035D1"/>
    <w:rsid w:val="00803E6E"/>
    <w:rsid w:val="00805DFC"/>
    <w:rsid w:val="00810E0F"/>
    <w:rsid w:val="00815640"/>
    <w:rsid w:val="00817F78"/>
    <w:rsid w:val="00822DCA"/>
    <w:rsid w:val="00825CBD"/>
    <w:rsid w:val="00825EEC"/>
    <w:rsid w:val="0083058F"/>
    <w:rsid w:val="00830F0E"/>
    <w:rsid w:val="00831FF5"/>
    <w:rsid w:val="00832017"/>
    <w:rsid w:val="00832A74"/>
    <w:rsid w:val="00833660"/>
    <w:rsid w:val="00834208"/>
    <w:rsid w:val="0083558F"/>
    <w:rsid w:val="0084479F"/>
    <w:rsid w:val="0084560D"/>
    <w:rsid w:val="00845725"/>
    <w:rsid w:val="00845FD1"/>
    <w:rsid w:val="008504AB"/>
    <w:rsid w:val="008526BC"/>
    <w:rsid w:val="00856475"/>
    <w:rsid w:val="0085673A"/>
    <w:rsid w:val="0086446E"/>
    <w:rsid w:val="00864AFA"/>
    <w:rsid w:val="00864C09"/>
    <w:rsid w:val="0086507D"/>
    <w:rsid w:val="00865B1C"/>
    <w:rsid w:val="00866316"/>
    <w:rsid w:val="0087163E"/>
    <w:rsid w:val="008813EC"/>
    <w:rsid w:val="00882115"/>
    <w:rsid w:val="00882ACD"/>
    <w:rsid w:val="0088335B"/>
    <w:rsid w:val="00883A53"/>
    <w:rsid w:val="0088535F"/>
    <w:rsid w:val="00885B55"/>
    <w:rsid w:val="00885C93"/>
    <w:rsid w:val="00885D4A"/>
    <w:rsid w:val="00886180"/>
    <w:rsid w:val="008874B4"/>
    <w:rsid w:val="00890082"/>
    <w:rsid w:val="00894176"/>
    <w:rsid w:val="0089523E"/>
    <w:rsid w:val="008A1655"/>
    <w:rsid w:val="008A30C6"/>
    <w:rsid w:val="008A35D1"/>
    <w:rsid w:val="008A417C"/>
    <w:rsid w:val="008A57FF"/>
    <w:rsid w:val="008A6AE4"/>
    <w:rsid w:val="008B1B78"/>
    <w:rsid w:val="008B1C91"/>
    <w:rsid w:val="008B40AA"/>
    <w:rsid w:val="008B5B41"/>
    <w:rsid w:val="008B5ECF"/>
    <w:rsid w:val="008B62C2"/>
    <w:rsid w:val="008B7493"/>
    <w:rsid w:val="008C0156"/>
    <w:rsid w:val="008C20C7"/>
    <w:rsid w:val="008C5004"/>
    <w:rsid w:val="008C6906"/>
    <w:rsid w:val="008C7C69"/>
    <w:rsid w:val="008D0533"/>
    <w:rsid w:val="008D2A1C"/>
    <w:rsid w:val="008D39DA"/>
    <w:rsid w:val="008D4CE8"/>
    <w:rsid w:val="008D4EE0"/>
    <w:rsid w:val="008D6D12"/>
    <w:rsid w:val="008E01C8"/>
    <w:rsid w:val="008E6C0D"/>
    <w:rsid w:val="008E73C1"/>
    <w:rsid w:val="008F02F5"/>
    <w:rsid w:val="008F0393"/>
    <w:rsid w:val="008F1AAE"/>
    <w:rsid w:val="008F6D0A"/>
    <w:rsid w:val="008F79A9"/>
    <w:rsid w:val="0090134E"/>
    <w:rsid w:val="00902867"/>
    <w:rsid w:val="009028B3"/>
    <w:rsid w:val="00905B26"/>
    <w:rsid w:val="00906049"/>
    <w:rsid w:val="0091205B"/>
    <w:rsid w:val="00914850"/>
    <w:rsid w:val="009175F3"/>
    <w:rsid w:val="00917EEC"/>
    <w:rsid w:val="00923593"/>
    <w:rsid w:val="00923AD0"/>
    <w:rsid w:val="0092558B"/>
    <w:rsid w:val="00925BD5"/>
    <w:rsid w:val="009261C5"/>
    <w:rsid w:val="00927995"/>
    <w:rsid w:val="00927F7F"/>
    <w:rsid w:val="00934465"/>
    <w:rsid w:val="009356C3"/>
    <w:rsid w:val="00940195"/>
    <w:rsid w:val="009428FA"/>
    <w:rsid w:val="00944016"/>
    <w:rsid w:val="00946EA6"/>
    <w:rsid w:val="00953877"/>
    <w:rsid w:val="009546D7"/>
    <w:rsid w:val="00956957"/>
    <w:rsid w:val="00962989"/>
    <w:rsid w:val="0096339C"/>
    <w:rsid w:val="009638AE"/>
    <w:rsid w:val="00965593"/>
    <w:rsid w:val="00966055"/>
    <w:rsid w:val="009668D5"/>
    <w:rsid w:val="00967DAA"/>
    <w:rsid w:val="009709E3"/>
    <w:rsid w:val="0097157B"/>
    <w:rsid w:val="00971F8B"/>
    <w:rsid w:val="00972D00"/>
    <w:rsid w:val="00973956"/>
    <w:rsid w:val="00973B31"/>
    <w:rsid w:val="0097494E"/>
    <w:rsid w:val="00977048"/>
    <w:rsid w:val="009841C0"/>
    <w:rsid w:val="0099026F"/>
    <w:rsid w:val="00992389"/>
    <w:rsid w:val="0099249A"/>
    <w:rsid w:val="00993550"/>
    <w:rsid w:val="0099656C"/>
    <w:rsid w:val="009A0290"/>
    <w:rsid w:val="009A035F"/>
    <w:rsid w:val="009A5739"/>
    <w:rsid w:val="009A675B"/>
    <w:rsid w:val="009A7335"/>
    <w:rsid w:val="009B0200"/>
    <w:rsid w:val="009B1AC1"/>
    <w:rsid w:val="009B207D"/>
    <w:rsid w:val="009B54BF"/>
    <w:rsid w:val="009B592E"/>
    <w:rsid w:val="009B5BA2"/>
    <w:rsid w:val="009B7878"/>
    <w:rsid w:val="009C0595"/>
    <w:rsid w:val="009C551B"/>
    <w:rsid w:val="009C74DB"/>
    <w:rsid w:val="009C7C45"/>
    <w:rsid w:val="009D3C34"/>
    <w:rsid w:val="009D6FB1"/>
    <w:rsid w:val="009E0B1F"/>
    <w:rsid w:val="009E101F"/>
    <w:rsid w:val="009E5BAA"/>
    <w:rsid w:val="009E7B4C"/>
    <w:rsid w:val="009F326A"/>
    <w:rsid w:val="009F5E1E"/>
    <w:rsid w:val="009F6256"/>
    <w:rsid w:val="009F70C7"/>
    <w:rsid w:val="00A00339"/>
    <w:rsid w:val="00A0290B"/>
    <w:rsid w:val="00A03AB5"/>
    <w:rsid w:val="00A10CB7"/>
    <w:rsid w:val="00A11054"/>
    <w:rsid w:val="00A1170A"/>
    <w:rsid w:val="00A1328B"/>
    <w:rsid w:val="00A1369E"/>
    <w:rsid w:val="00A227B8"/>
    <w:rsid w:val="00A240E8"/>
    <w:rsid w:val="00A24A31"/>
    <w:rsid w:val="00A2566F"/>
    <w:rsid w:val="00A27764"/>
    <w:rsid w:val="00A27B40"/>
    <w:rsid w:val="00A301DB"/>
    <w:rsid w:val="00A32772"/>
    <w:rsid w:val="00A32870"/>
    <w:rsid w:val="00A33360"/>
    <w:rsid w:val="00A33E29"/>
    <w:rsid w:val="00A35115"/>
    <w:rsid w:val="00A35398"/>
    <w:rsid w:val="00A36DF1"/>
    <w:rsid w:val="00A41DBB"/>
    <w:rsid w:val="00A44915"/>
    <w:rsid w:val="00A44FF4"/>
    <w:rsid w:val="00A4543C"/>
    <w:rsid w:val="00A46E24"/>
    <w:rsid w:val="00A475AD"/>
    <w:rsid w:val="00A516D3"/>
    <w:rsid w:val="00A51950"/>
    <w:rsid w:val="00A54031"/>
    <w:rsid w:val="00A55007"/>
    <w:rsid w:val="00A55908"/>
    <w:rsid w:val="00A60067"/>
    <w:rsid w:val="00A60085"/>
    <w:rsid w:val="00A6038C"/>
    <w:rsid w:val="00A60426"/>
    <w:rsid w:val="00A615F5"/>
    <w:rsid w:val="00A64DFB"/>
    <w:rsid w:val="00A70740"/>
    <w:rsid w:val="00A70747"/>
    <w:rsid w:val="00A7267C"/>
    <w:rsid w:val="00A8032B"/>
    <w:rsid w:val="00A81411"/>
    <w:rsid w:val="00A839E9"/>
    <w:rsid w:val="00A84CDF"/>
    <w:rsid w:val="00A93DC1"/>
    <w:rsid w:val="00AA0060"/>
    <w:rsid w:val="00AA05C5"/>
    <w:rsid w:val="00AA20E0"/>
    <w:rsid w:val="00AA3045"/>
    <w:rsid w:val="00AA4FC0"/>
    <w:rsid w:val="00AA60EF"/>
    <w:rsid w:val="00AA6855"/>
    <w:rsid w:val="00AA7745"/>
    <w:rsid w:val="00AB28F1"/>
    <w:rsid w:val="00AB420E"/>
    <w:rsid w:val="00AC2B5A"/>
    <w:rsid w:val="00AC2D7E"/>
    <w:rsid w:val="00AC360E"/>
    <w:rsid w:val="00AC3A9E"/>
    <w:rsid w:val="00AC539A"/>
    <w:rsid w:val="00AD0B94"/>
    <w:rsid w:val="00AD541A"/>
    <w:rsid w:val="00AE028B"/>
    <w:rsid w:val="00AE18A0"/>
    <w:rsid w:val="00AE254A"/>
    <w:rsid w:val="00AE3AE1"/>
    <w:rsid w:val="00AE5EBF"/>
    <w:rsid w:val="00AE5EEB"/>
    <w:rsid w:val="00AE6A2E"/>
    <w:rsid w:val="00AE6CDE"/>
    <w:rsid w:val="00AF1161"/>
    <w:rsid w:val="00AF495D"/>
    <w:rsid w:val="00AF5107"/>
    <w:rsid w:val="00AF7742"/>
    <w:rsid w:val="00B0002E"/>
    <w:rsid w:val="00B00F9C"/>
    <w:rsid w:val="00B03B67"/>
    <w:rsid w:val="00B04AD5"/>
    <w:rsid w:val="00B11282"/>
    <w:rsid w:val="00B11FFD"/>
    <w:rsid w:val="00B136CC"/>
    <w:rsid w:val="00B20C48"/>
    <w:rsid w:val="00B211D8"/>
    <w:rsid w:val="00B258AA"/>
    <w:rsid w:val="00B26372"/>
    <w:rsid w:val="00B27B5B"/>
    <w:rsid w:val="00B302B6"/>
    <w:rsid w:val="00B3080C"/>
    <w:rsid w:val="00B325DB"/>
    <w:rsid w:val="00B35718"/>
    <w:rsid w:val="00B35B18"/>
    <w:rsid w:val="00B36C10"/>
    <w:rsid w:val="00B4221D"/>
    <w:rsid w:val="00B46761"/>
    <w:rsid w:val="00B51C1E"/>
    <w:rsid w:val="00B52E3C"/>
    <w:rsid w:val="00B530B3"/>
    <w:rsid w:val="00B535FC"/>
    <w:rsid w:val="00B6116D"/>
    <w:rsid w:val="00B61E35"/>
    <w:rsid w:val="00B65789"/>
    <w:rsid w:val="00B66074"/>
    <w:rsid w:val="00B70F2C"/>
    <w:rsid w:val="00B7296A"/>
    <w:rsid w:val="00B73326"/>
    <w:rsid w:val="00B75C9B"/>
    <w:rsid w:val="00B76C7A"/>
    <w:rsid w:val="00B82E8B"/>
    <w:rsid w:val="00B85824"/>
    <w:rsid w:val="00B87229"/>
    <w:rsid w:val="00B92688"/>
    <w:rsid w:val="00B94423"/>
    <w:rsid w:val="00B94ADF"/>
    <w:rsid w:val="00B95462"/>
    <w:rsid w:val="00BA108F"/>
    <w:rsid w:val="00BB218C"/>
    <w:rsid w:val="00BB3832"/>
    <w:rsid w:val="00BB760D"/>
    <w:rsid w:val="00BC030E"/>
    <w:rsid w:val="00BC0352"/>
    <w:rsid w:val="00BC23DA"/>
    <w:rsid w:val="00BD0DCA"/>
    <w:rsid w:val="00BD2190"/>
    <w:rsid w:val="00BD27E4"/>
    <w:rsid w:val="00BD3254"/>
    <w:rsid w:val="00BD7438"/>
    <w:rsid w:val="00BE1A15"/>
    <w:rsid w:val="00BE2028"/>
    <w:rsid w:val="00BE2691"/>
    <w:rsid w:val="00BE2E46"/>
    <w:rsid w:val="00BE3293"/>
    <w:rsid w:val="00BE4B91"/>
    <w:rsid w:val="00BE4C9C"/>
    <w:rsid w:val="00BE5437"/>
    <w:rsid w:val="00BE7238"/>
    <w:rsid w:val="00BE7711"/>
    <w:rsid w:val="00BE788F"/>
    <w:rsid w:val="00BE7C68"/>
    <w:rsid w:val="00BF54E9"/>
    <w:rsid w:val="00BF5721"/>
    <w:rsid w:val="00BF5FBF"/>
    <w:rsid w:val="00C0014C"/>
    <w:rsid w:val="00C02CF6"/>
    <w:rsid w:val="00C14611"/>
    <w:rsid w:val="00C15647"/>
    <w:rsid w:val="00C15B57"/>
    <w:rsid w:val="00C1687D"/>
    <w:rsid w:val="00C22D53"/>
    <w:rsid w:val="00C25C93"/>
    <w:rsid w:val="00C25E84"/>
    <w:rsid w:val="00C26773"/>
    <w:rsid w:val="00C274C3"/>
    <w:rsid w:val="00C277EC"/>
    <w:rsid w:val="00C3056B"/>
    <w:rsid w:val="00C31C39"/>
    <w:rsid w:val="00C3293D"/>
    <w:rsid w:val="00C32F53"/>
    <w:rsid w:val="00C337A9"/>
    <w:rsid w:val="00C35C01"/>
    <w:rsid w:val="00C43214"/>
    <w:rsid w:val="00C44491"/>
    <w:rsid w:val="00C46848"/>
    <w:rsid w:val="00C50068"/>
    <w:rsid w:val="00C508C3"/>
    <w:rsid w:val="00C50B2D"/>
    <w:rsid w:val="00C5187C"/>
    <w:rsid w:val="00C51E94"/>
    <w:rsid w:val="00C55841"/>
    <w:rsid w:val="00C64C62"/>
    <w:rsid w:val="00C64FB4"/>
    <w:rsid w:val="00C65239"/>
    <w:rsid w:val="00C65756"/>
    <w:rsid w:val="00C7205A"/>
    <w:rsid w:val="00C73055"/>
    <w:rsid w:val="00C74231"/>
    <w:rsid w:val="00C75438"/>
    <w:rsid w:val="00C7623B"/>
    <w:rsid w:val="00C77DC0"/>
    <w:rsid w:val="00C806D7"/>
    <w:rsid w:val="00C80E39"/>
    <w:rsid w:val="00C815F2"/>
    <w:rsid w:val="00C835A0"/>
    <w:rsid w:val="00C84C93"/>
    <w:rsid w:val="00C868A7"/>
    <w:rsid w:val="00C92C89"/>
    <w:rsid w:val="00C9450B"/>
    <w:rsid w:val="00C94C9F"/>
    <w:rsid w:val="00CA0497"/>
    <w:rsid w:val="00CA17F4"/>
    <w:rsid w:val="00CA1B9E"/>
    <w:rsid w:val="00CA5C32"/>
    <w:rsid w:val="00CA7C4D"/>
    <w:rsid w:val="00CB2FA2"/>
    <w:rsid w:val="00CB320C"/>
    <w:rsid w:val="00CB38C8"/>
    <w:rsid w:val="00CB55FC"/>
    <w:rsid w:val="00CB6056"/>
    <w:rsid w:val="00CC0E6B"/>
    <w:rsid w:val="00CC1718"/>
    <w:rsid w:val="00CC2F54"/>
    <w:rsid w:val="00CC3407"/>
    <w:rsid w:val="00CC3B57"/>
    <w:rsid w:val="00CC3D99"/>
    <w:rsid w:val="00CC4C6D"/>
    <w:rsid w:val="00CC5494"/>
    <w:rsid w:val="00CC60B0"/>
    <w:rsid w:val="00CC6199"/>
    <w:rsid w:val="00CD21C0"/>
    <w:rsid w:val="00CD2306"/>
    <w:rsid w:val="00CE0DB1"/>
    <w:rsid w:val="00CE162E"/>
    <w:rsid w:val="00CE2420"/>
    <w:rsid w:val="00CE265D"/>
    <w:rsid w:val="00CE47EF"/>
    <w:rsid w:val="00CE4DBB"/>
    <w:rsid w:val="00CE6FD4"/>
    <w:rsid w:val="00CF0EAA"/>
    <w:rsid w:val="00CF3930"/>
    <w:rsid w:val="00CF63DD"/>
    <w:rsid w:val="00CF7099"/>
    <w:rsid w:val="00D012A3"/>
    <w:rsid w:val="00D01F35"/>
    <w:rsid w:val="00D02289"/>
    <w:rsid w:val="00D03E2D"/>
    <w:rsid w:val="00D05005"/>
    <w:rsid w:val="00D06C7A"/>
    <w:rsid w:val="00D10219"/>
    <w:rsid w:val="00D11B71"/>
    <w:rsid w:val="00D12286"/>
    <w:rsid w:val="00D12BD0"/>
    <w:rsid w:val="00D13783"/>
    <w:rsid w:val="00D13EB9"/>
    <w:rsid w:val="00D15565"/>
    <w:rsid w:val="00D1639D"/>
    <w:rsid w:val="00D20C7F"/>
    <w:rsid w:val="00D265E6"/>
    <w:rsid w:val="00D275E6"/>
    <w:rsid w:val="00D276B5"/>
    <w:rsid w:val="00D30149"/>
    <w:rsid w:val="00D30228"/>
    <w:rsid w:val="00D3602C"/>
    <w:rsid w:val="00D36F45"/>
    <w:rsid w:val="00D3734C"/>
    <w:rsid w:val="00D42674"/>
    <w:rsid w:val="00D46E52"/>
    <w:rsid w:val="00D50ACB"/>
    <w:rsid w:val="00D51FD2"/>
    <w:rsid w:val="00D53E83"/>
    <w:rsid w:val="00D55041"/>
    <w:rsid w:val="00D5565F"/>
    <w:rsid w:val="00D55787"/>
    <w:rsid w:val="00D57C8C"/>
    <w:rsid w:val="00D67DBC"/>
    <w:rsid w:val="00D734E1"/>
    <w:rsid w:val="00D7403B"/>
    <w:rsid w:val="00D7525A"/>
    <w:rsid w:val="00D75641"/>
    <w:rsid w:val="00D77780"/>
    <w:rsid w:val="00D80B6F"/>
    <w:rsid w:val="00D81985"/>
    <w:rsid w:val="00D8417D"/>
    <w:rsid w:val="00D8474A"/>
    <w:rsid w:val="00D856BB"/>
    <w:rsid w:val="00D85EB3"/>
    <w:rsid w:val="00D86CA1"/>
    <w:rsid w:val="00D91258"/>
    <w:rsid w:val="00D913FF"/>
    <w:rsid w:val="00D91E04"/>
    <w:rsid w:val="00D947F8"/>
    <w:rsid w:val="00D965E4"/>
    <w:rsid w:val="00D9700E"/>
    <w:rsid w:val="00D97F82"/>
    <w:rsid w:val="00DA0A37"/>
    <w:rsid w:val="00DA0A6E"/>
    <w:rsid w:val="00DA10D6"/>
    <w:rsid w:val="00DA1B49"/>
    <w:rsid w:val="00DA40E4"/>
    <w:rsid w:val="00DA5084"/>
    <w:rsid w:val="00DA7DD3"/>
    <w:rsid w:val="00DB2AE9"/>
    <w:rsid w:val="00DB34A4"/>
    <w:rsid w:val="00DB37D8"/>
    <w:rsid w:val="00DB7CE4"/>
    <w:rsid w:val="00DC2F1E"/>
    <w:rsid w:val="00DC39C3"/>
    <w:rsid w:val="00DC3B61"/>
    <w:rsid w:val="00DD321F"/>
    <w:rsid w:val="00DD3C8D"/>
    <w:rsid w:val="00DD4631"/>
    <w:rsid w:val="00DD4F75"/>
    <w:rsid w:val="00DE29B5"/>
    <w:rsid w:val="00DE3265"/>
    <w:rsid w:val="00DE557C"/>
    <w:rsid w:val="00DF1371"/>
    <w:rsid w:val="00DF2619"/>
    <w:rsid w:val="00DF5D96"/>
    <w:rsid w:val="00DF64AA"/>
    <w:rsid w:val="00DF662C"/>
    <w:rsid w:val="00E00715"/>
    <w:rsid w:val="00E0125E"/>
    <w:rsid w:val="00E041FD"/>
    <w:rsid w:val="00E059FA"/>
    <w:rsid w:val="00E06471"/>
    <w:rsid w:val="00E1612E"/>
    <w:rsid w:val="00E16E76"/>
    <w:rsid w:val="00E22054"/>
    <w:rsid w:val="00E230BE"/>
    <w:rsid w:val="00E246B8"/>
    <w:rsid w:val="00E26CD2"/>
    <w:rsid w:val="00E26FE6"/>
    <w:rsid w:val="00E279AA"/>
    <w:rsid w:val="00E32867"/>
    <w:rsid w:val="00E40EAE"/>
    <w:rsid w:val="00E43D9A"/>
    <w:rsid w:val="00E4407C"/>
    <w:rsid w:val="00E4506D"/>
    <w:rsid w:val="00E452FE"/>
    <w:rsid w:val="00E4585A"/>
    <w:rsid w:val="00E461AC"/>
    <w:rsid w:val="00E47642"/>
    <w:rsid w:val="00E52849"/>
    <w:rsid w:val="00E56246"/>
    <w:rsid w:val="00E56DD8"/>
    <w:rsid w:val="00E57FF1"/>
    <w:rsid w:val="00E61350"/>
    <w:rsid w:val="00E61A16"/>
    <w:rsid w:val="00E61AE1"/>
    <w:rsid w:val="00E6213F"/>
    <w:rsid w:val="00E6515C"/>
    <w:rsid w:val="00E72C2B"/>
    <w:rsid w:val="00E7672B"/>
    <w:rsid w:val="00E77CD3"/>
    <w:rsid w:val="00E809AA"/>
    <w:rsid w:val="00E831AD"/>
    <w:rsid w:val="00E838E9"/>
    <w:rsid w:val="00E852A2"/>
    <w:rsid w:val="00E87209"/>
    <w:rsid w:val="00E914A4"/>
    <w:rsid w:val="00E9180B"/>
    <w:rsid w:val="00E94813"/>
    <w:rsid w:val="00E94BD7"/>
    <w:rsid w:val="00E94E76"/>
    <w:rsid w:val="00EA0802"/>
    <w:rsid w:val="00EA2376"/>
    <w:rsid w:val="00EA3949"/>
    <w:rsid w:val="00EA7946"/>
    <w:rsid w:val="00EA7AB6"/>
    <w:rsid w:val="00EB0D0C"/>
    <w:rsid w:val="00EB32F0"/>
    <w:rsid w:val="00EB5694"/>
    <w:rsid w:val="00EC30FB"/>
    <w:rsid w:val="00ED2831"/>
    <w:rsid w:val="00ED3F76"/>
    <w:rsid w:val="00ED5342"/>
    <w:rsid w:val="00ED627E"/>
    <w:rsid w:val="00EE1384"/>
    <w:rsid w:val="00EE1A4F"/>
    <w:rsid w:val="00EE2E38"/>
    <w:rsid w:val="00EF0E2E"/>
    <w:rsid w:val="00EF61A6"/>
    <w:rsid w:val="00F03153"/>
    <w:rsid w:val="00F03D06"/>
    <w:rsid w:val="00F0455B"/>
    <w:rsid w:val="00F0479E"/>
    <w:rsid w:val="00F04CA7"/>
    <w:rsid w:val="00F06B23"/>
    <w:rsid w:val="00F072E2"/>
    <w:rsid w:val="00F13BA9"/>
    <w:rsid w:val="00F142D1"/>
    <w:rsid w:val="00F14B10"/>
    <w:rsid w:val="00F2385E"/>
    <w:rsid w:val="00F23A56"/>
    <w:rsid w:val="00F31BAB"/>
    <w:rsid w:val="00F32B45"/>
    <w:rsid w:val="00F33173"/>
    <w:rsid w:val="00F36475"/>
    <w:rsid w:val="00F373E5"/>
    <w:rsid w:val="00F4103F"/>
    <w:rsid w:val="00F41168"/>
    <w:rsid w:val="00F42822"/>
    <w:rsid w:val="00F42A78"/>
    <w:rsid w:val="00F51C10"/>
    <w:rsid w:val="00F53083"/>
    <w:rsid w:val="00F55B2A"/>
    <w:rsid w:val="00F5610B"/>
    <w:rsid w:val="00F57C47"/>
    <w:rsid w:val="00F61927"/>
    <w:rsid w:val="00F637F4"/>
    <w:rsid w:val="00F6499B"/>
    <w:rsid w:val="00F6548C"/>
    <w:rsid w:val="00F65801"/>
    <w:rsid w:val="00F6599E"/>
    <w:rsid w:val="00F6682F"/>
    <w:rsid w:val="00F66AFE"/>
    <w:rsid w:val="00F67660"/>
    <w:rsid w:val="00F70A27"/>
    <w:rsid w:val="00F718C5"/>
    <w:rsid w:val="00F72643"/>
    <w:rsid w:val="00F744CC"/>
    <w:rsid w:val="00F746A2"/>
    <w:rsid w:val="00F74AA9"/>
    <w:rsid w:val="00F75E42"/>
    <w:rsid w:val="00F77220"/>
    <w:rsid w:val="00F776A6"/>
    <w:rsid w:val="00F77B9E"/>
    <w:rsid w:val="00F804F7"/>
    <w:rsid w:val="00F80D67"/>
    <w:rsid w:val="00F810FB"/>
    <w:rsid w:val="00F820F3"/>
    <w:rsid w:val="00F82116"/>
    <w:rsid w:val="00F84F27"/>
    <w:rsid w:val="00F86107"/>
    <w:rsid w:val="00F86453"/>
    <w:rsid w:val="00F87184"/>
    <w:rsid w:val="00F874F4"/>
    <w:rsid w:val="00F87F46"/>
    <w:rsid w:val="00F90B3E"/>
    <w:rsid w:val="00F90F81"/>
    <w:rsid w:val="00F91BD4"/>
    <w:rsid w:val="00F9284B"/>
    <w:rsid w:val="00F93AA8"/>
    <w:rsid w:val="00F947CD"/>
    <w:rsid w:val="00F94A02"/>
    <w:rsid w:val="00F94CBD"/>
    <w:rsid w:val="00F95B91"/>
    <w:rsid w:val="00FA5E19"/>
    <w:rsid w:val="00FA5EA7"/>
    <w:rsid w:val="00FA6481"/>
    <w:rsid w:val="00FA6771"/>
    <w:rsid w:val="00FA7842"/>
    <w:rsid w:val="00FB17EC"/>
    <w:rsid w:val="00FB40F7"/>
    <w:rsid w:val="00FB5513"/>
    <w:rsid w:val="00FB677B"/>
    <w:rsid w:val="00FB73E1"/>
    <w:rsid w:val="00FC04A5"/>
    <w:rsid w:val="00FC0776"/>
    <w:rsid w:val="00FC277E"/>
    <w:rsid w:val="00FC3045"/>
    <w:rsid w:val="00FC6E96"/>
    <w:rsid w:val="00FD294D"/>
    <w:rsid w:val="00FE1985"/>
    <w:rsid w:val="00FE5812"/>
    <w:rsid w:val="00FE624C"/>
    <w:rsid w:val="00FE7636"/>
    <w:rsid w:val="00FF1A0C"/>
    <w:rsid w:val="00FF2383"/>
    <w:rsid w:val="00FF2F91"/>
    <w:rsid w:val="00FF30A6"/>
    <w:rsid w:val="00FF636F"/>
    <w:rsid w:val="00FF6F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2CCDE"/>
  <w15:docId w15:val="{90CE6350-5B6E-48DE-9B3B-5CE852C9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02D8C"/>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es-CR" w:eastAsia="en-US"/>
    </w:rPr>
  </w:style>
  <w:style w:type="paragraph" w:styleId="Ttulo2">
    <w:name w:val="heading 2"/>
    <w:basedOn w:val="Normal"/>
    <w:next w:val="Normal"/>
    <w:link w:val="Ttulo2Car"/>
    <w:qFormat/>
    <w:rsid w:val="004C5799"/>
    <w:pPr>
      <w:keepNext/>
      <w:widowControl w:val="0"/>
      <w:spacing w:line="300" w:lineRule="atLeast"/>
      <w:outlineLvl w:val="1"/>
    </w:pPr>
    <w:rPr>
      <w:rFonts w:asciiTheme="minorHAnsi" w:eastAsia="Times" w:hAnsiTheme="minorHAnsi"/>
      <w:b/>
      <w:bCs/>
      <w:color w:val="1F4E79" w:themeColor="accent1" w:themeShade="80"/>
      <w:sz w:val="24"/>
      <w:lang w:val="es-CR" w:eastAsia="fr-FR"/>
    </w:rPr>
  </w:style>
  <w:style w:type="paragraph" w:styleId="Ttulo3">
    <w:name w:val="heading 3"/>
    <w:basedOn w:val="Normal"/>
    <w:next w:val="Normal"/>
    <w:link w:val="Ttulo3Car"/>
    <w:uiPriority w:val="9"/>
    <w:semiHidden/>
    <w:unhideWhenUsed/>
    <w:qFormat/>
    <w:rsid w:val="00BE5437"/>
    <w:pPr>
      <w:keepNext/>
      <w:keepLines/>
      <w:spacing w:before="40" w:line="259" w:lineRule="auto"/>
      <w:outlineLvl w:val="2"/>
    </w:pPr>
    <w:rPr>
      <w:rFonts w:asciiTheme="majorHAnsi" w:eastAsiaTheme="majorEastAsia" w:hAnsiTheme="majorHAnsi" w:cstheme="majorBidi"/>
      <w:color w:val="1F4D78" w:themeColor="accent1" w:themeShade="7F"/>
      <w:sz w:val="24"/>
      <w:szCs w:val="24"/>
      <w:lang w:val="es-CR" w:eastAsia="en-US"/>
    </w:rPr>
  </w:style>
  <w:style w:type="paragraph" w:styleId="Ttulo4">
    <w:name w:val="heading 4"/>
    <w:basedOn w:val="Normal"/>
    <w:next w:val="Normal"/>
    <w:link w:val="Ttulo4Car"/>
    <w:uiPriority w:val="9"/>
    <w:semiHidden/>
    <w:unhideWhenUsed/>
    <w:qFormat/>
    <w:rsid w:val="005629E4"/>
    <w:pPr>
      <w:keepNext/>
      <w:keepLines/>
      <w:spacing w:before="40" w:line="259" w:lineRule="auto"/>
      <w:outlineLvl w:val="3"/>
    </w:pPr>
    <w:rPr>
      <w:rFonts w:asciiTheme="majorHAnsi" w:eastAsiaTheme="majorEastAsia" w:hAnsiTheme="majorHAnsi" w:cstheme="majorBidi"/>
      <w:i/>
      <w:iCs/>
      <w:color w:val="2E74B5" w:themeColor="accent1" w:themeShade="BF"/>
      <w:sz w:val="22"/>
      <w:szCs w:val="22"/>
      <w:lang w:val="es-CR" w:eastAsia="en-US"/>
    </w:rPr>
  </w:style>
  <w:style w:type="paragraph" w:styleId="Ttulo5">
    <w:name w:val="heading 5"/>
    <w:qFormat/>
    <w:pPr>
      <w:outlineLvl w:val="4"/>
    </w:pPr>
    <w:rPr>
      <w:color w:val="2E74B5"/>
    </w:rPr>
  </w:style>
  <w:style w:type="paragraph" w:styleId="Ttulo6">
    <w:name w:val="heading 6"/>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qFormat/>
    <w:rPr>
      <w:sz w:val="56"/>
      <w:szCs w:val="56"/>
    </w:rPr>
  </w:style>
  <w:style w:type="paragraph" w:customStyle="1" w:styleId="lev1">
    <w:name w:val="Élevé1"/>
    <w:qFormat/>
    <w:rPr>
      <w:b/>
      <w:bCs/>
    </w:rPr>
  </w:style>
  <w:style w:type="paragraph" w:styleId="Prrafodelista">
    <w:name w:val="List Paragraph"/>
    <w:aliases w:val="List Paragraph (numbered (a)),Yellow Bullet,Normal bullet 2,Paragraph,Bullets,Ha,titulo 3,HOJA,Bolita,Párrafo de lista4,BOLADEF,Párrafo de lista3,Párrafo de lista21,BOLA,Nivel 1 OS,Dot pt,List Paragraph Char Char Char,Indicator Text"/>
    <w:basedOn w:val="Normal"/>
    <w:link w:val="PrrafodelistaCar"/>
    <w:uiPriority w:val="34"/>
    <w:qFormat/>
    <w:rsid w:val="0088535F"/>
    <w:pPr>
      <w:ind w:left="720"/>
      <w:contextualSpacing/>
    </w:pPr>
    <w:rPr>
      <w:rFonts w:ascii="Calibri" w:eastAsia="Calibri" w:hAnsi="Calibri" w:cs="Times New Roman"/>
      <w:sz w:val="22"/>
      <w:szCs w:val="22"/>
      <w:lang w:val="en-US" w:eastAsia="en-US"/>
    </w:rPr>
  </w:style>
  <w:style w:type="character" w:styleId="Hipervnculo">
    <w:name w:val="Hyperlink"/>
    <w:uiPriority w:val="99"/>
    <w:rsid w:val="0088535F"/>
    <w:rPr>
      <w:color w:val="0000FF"/>
      <w:u w:val="single"/>
    </w:rPr>
  </w:style>
  <w:style w:type="character" w:styleId="Refdenotaalpie">
    <w:name w:val="footnote reference"/>
    <w:basedOn w:val="Fuentedeprrafopredeter"/>
    <w:uiPriority w:val="99"/>
    <w:semiHidden/>
    <w:unhideWhenUsed/>
    <w:rsid w:val="00DA0A37"/>
    <w:rPr>
      <w:vertAlign w:val="superscript"/>
    </w:rPr>
  </w:style>
  <w:style w:type="paragraph" w:styleId="Textonotapie">
    <w:name w:val="footnote text"/>
    <w:basedOn w:val="Normal"/>
    <w:link w:val="TextonotapieCar"/>
    <w:uiPriority w:val="99"/>
    <w:semiHidden/>
    <w:unhideWhenUsed/>
    <w:rsid w:val="00DA0A37"/>
    <w:rPr>
      <w:rFonts w:asciiTheme="minorHAnsi" w:eastAsiaTheme="minorHAnsi" w:hAnsiTheme="minorHAnsi" w:cstheme="minorBidi"/>
      <w:lang w:val="es-CR" w:eastAsia="en-US"/>
    </w:rPr>
  </w:style>
  <w:style w:type="character" w:customStyle="1" w:styleId="TextonotapieCar">
    <w:name w:val="Texto nota pie Car"/>
    <w:link w:val="Textonotapie"/>
    <w:uiPriority w:val="99"/>
    <w:semiHidden/>
    <w:unhideWhenUsed/>
    <w:rPr>
      <w:rFonts w:asciiTheme="minorHAnsi" w:eastAsiaTheme="minorHAnsi" w:hAnsiTheme="minorHAnsi" w:cstheme="minorBidi"/>
      <w:lang w:val="es-CR" w:eastAsia="en-US"/>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style>
  <w:style w:type="character" w:customStyle="1" w:styleId="TextonotaalfinalCar">
    <w:name w:val="Texto nota al final Car"/>
    <w:link w:val="Textonotaalfinal"/>
    <w:uiPriority w:val="99"/>
    <w:semiHidden/>
    <w:unhideWhenUsed/>
    <w:rPr>
      <w:sz w:val="20"/>
      <w:szCs w:val="20"/>
    </w:rPr>
  </w:style>
  <w:style w:type="character" w:styleId="Refdecomentario">
    <w:name w:val="annotation reference"/>
    <w:basedOn w:val="Fuentedeprrafopredeter"/>
    <w:uiPriority w:val="99"/>
    <w:unhideWhenUsed/>
    <w:rsid w:val="00DA10D6"/>
    <w:rPr>
      <w:sz w:val="16"/>
      <w:szCs w:val="16"/>
    </w:rPr>
  </w:style>
  <w:style w:type="paragraph" w:styleId="Textocomentario">
    <w:name w:val="annotation text"/>
    <w:basedOn w:val="Normal"/>
    <w:link w:val="TextocomentarioCar"/>
    <w:uiPriority w:val="99"/>
    <w:unhideWhenUsed/>
    <w:rsid w:val="00F32B45"/>
    <w:pPr>
      <w:spacing w:after="160"/>
    </w:pPr>
    <w:rPr>
      <w:rFonts w:asciiTheme="minorHAnsi" w:eastAsiaTheme="minorHAnsi" w:hAnsiTheme="minorHAnsi" w:cstheme="minorBidi"/>
      <w:lang w:val="es-CR" w:eastAsia="en-US"/>
    </w:rPr>
  </w:style>
  <w:style w:type="character" w:customStyle="1" w:styleId="TextocomentarioCar">
    <w:name w:val="Texto comentario Car"/>
    <w:basedOn w:val="Fuentedeprrafopredeter"/>
    <w:link w:val="Textocomentario"/>
    <w:uiPriority w:val="99"/>
    <w:rsid w:val="00DA10D6"/>
    <w:rPr>
      <w:rFonts w:asciiTheme="minorHAnsi" w:eastAsiaTheme="minorHAnsi" w:hAnsiTheme="minorHAnsi" w:cstheme="minorBidi"/>
      <w:lang w:val="es-CR" w:eastAsia="en-US"/>
    </w:rPr>
  </w:style>
  <w:style w:type="paragraph" w:styleId="Asuntodelcomentario">
    <w:name w:val="annotation subject"/>
    <w:basedOn w:val="Textocomentario"/>
    <w:next w:val="Textocomentario"/>
    <w:link w:val="AsuntodelcomentarioCar"/>
    <w:uiPriority w:val="99"/>
    <w:semiHidden/>
    <w:unhideWhenUsed/>
    <w:rsid w:val="00DA10D6"/>
    <w:rPr>
      <w:b/>
      <w:bCs/>
    </w:rPr>
  </w:style>
  <w:style w:type="character" w:customStyle="1" w:styleId="AsuntodelcomentarioCar">
    <w:name w:val="Asunto del comentario Car"/>
    <w:basedOn w:val="TextocomentarioCar"/>
    <w:link w:val="Asuntodelcomentario"/>
    <w:uiPriority w:val="99"/>
    <w:semiHidden/>
    <w:rsid w:val="00DA10D6"/>
    <w:rPr>
      <w:rFonts w:asciiTheme="minorHAnsi" w:eastAsiaTheme="minorHAnsi" w:hAnsiTheme="minorHAnsi" w:cstheme="minorBidi"/>
      <w:b/>
      <w:bCs/>
      <w:lang w:val="es-CR" w:eastAsia="en-US"/>
    </w:rPr>
  </w:style>
  <w:style w:type="paragraph" w:styleId="Textodeglobo">
    <w:name w:val="Balloon Text"/>
    <w:basedOn w:val="Normal"/>
    <w:link w:val="TextodegloboCar"/>
    <w:uiPriority w:val="99"/>
    <w:semiHidden/>
    <w:unhideWhenUsed/>
    <w:rsid w:val="00B211D8"/>
    <w:rPr>
      <w:rFonts w:ascii="Segoe UI" w:eastAsiaTheme="minorHAnsi" w:hAnsi="Segoe UI" w:cs="Segoe UI"/>
      <w:sz w:val="18"/>
      <w:szCs w:val="18"/>
      <w:lang w:val="es-CR" w:eastAsia="en-US"/>
    </w:rPr>
  </w:style>
  <w:style w:type="character" w:customStyle="1" w:styleId="TextodegloboCar">
    <w:name w:val="Texto de globo Car"/>
    <w:basedOn w:val="Fuentedeprrafopredeter"/>
    <w:link w:val="Textodeglobo"/>
    <w:uiPriority w:val="99"/>
    <w:semiHidden/>
    <w:rsid w:val="00DA10D6"/>
    <w:rPr>
      <w:rFonts w:ascii="Segoe UI" w:eastAsiaTheme="minorHAnsi" w:hAnsi="Segoe UI" w:cs="Segoe UI"/>
      <w:sz w:val="18"/>
      <w:szCs w:val="18"/>
      <w:lang w:val="es-CR" w:eastAsia="en-US"/>
    </w:rPr>
  </w:style>
  <w:style w:type="paragraph" w:styleId="Revisin">
    <w:name w:val="Revision"/>
    <w:hidden/>
    <w:uiPriority w:val="99"/>
    <w:semiHidden/>
    <w:rsid w:val="00B26372"/>
    <w:rPr>
      <w:rFonts w:asciiTheme="minorHAnsi" w:eastAsiaTheme="minorHAnsi" w:hAnsiTheme="minorHAnsi" w:cstheme="minorBidi"/>
      <w:sz w:val="22"/>
      <w:szCs w:val="22"/>
      <w:lang w:val="fr-FR" w:eastAsia="en-US"/>
    </w:rPr>
  </w:style>
  <w:style w:type="character" w:customStyle="1" w:styleId="Ttulo2Car">
    <w:name w:val="Título 2 Car"/>
    <w:basedOn w:val="Fuentedeprrafopredeter"/>
    <w:link w:val="Ttulo2"/>
    <w:rsid w:val="00F072E2"/>
    <w:rPr>
      <w:rFonts w:asciiTheme="minorHAnsi" w:eastAsia="Times" w:hAnsiTheme="minorHAnsi"/>
      <w:b/>
      <w:bCs/>
      <w:color w:val="1F4E79" w:themeColor="accent1" w:themeShade="80"/>
      <w:sz w:val="24"/>
      <w:lang w:val="es-CR" w:eastAsia="fr-FR"/>
    </w:rPr>
  </w:style>
  <w:style w:type="paragraph" w:customStyle="1" w:styleId="u">
    <w:name w:val="u"/>
    <w:basedOn w:val="Normal"/>
    <w:rsid w:val="0088535F"/>
    <w:pPr>
      <w:overflowPunct w:val="0"/>
      <w:autoSpaceDE w:val="0"/>
      <w:autoSpaceDN w:val="0"/>
      <w:adjustRightInd w:val="0"/>
      <w:ind w:left="562"/>
      <w:jc w:val="both"/>
      <w:textAlignment w:val="baseline"/>
    </w:pPr>
    <w:rPr>
      <w:rFonts w:eastAsia="Times New Roman" w:cs="Times New Roman"/>
      <w:sz w:val="22"/>
      <w:lang w:val="es-CR" w:eastAsia="fr-FR"/>
    </w:rPr>
  </w:style>
  <w:style w:type="paragraph" w:customStyle="1" w:styleId="TITF1">
    <w:name w:val="TITF1"/>
    <w:basedOn w:val="Normal"/>
    <w:rsid w:val="0088535F"/>
    <w:pPr>
      <w:widowControl w:val="0"/>
      <w:numPr>
        <w:ilvl w:val="12"/>
      </w:numPr>
      <w:overflowPunct w:val="0"/>
      <w:autoSpaceDE w:val="0"/>
      <w:autoSpaceDN w:val="0"/>
      <w:adjustRightInd w:val="0"/>
      <w:spacing w:after="540"/>
      <w:jc w:val="both"/>
      <w:textAlignment w:val="baseline"/>
    </w:pPr>
    <w:rPr>
      <w:rFonts w:eastAsia="Times New Roman"/>
      <w:b/>
      <w:caps/>
      <w:lang w:val="es-CR" w:eastAsia="fr-FR"/>
    </w:rPr>
  </w:style>
  <w:style w:type="paragraph" w:styleId="Textoindependiente">
    <w:name w:val="Body Text"/>
    <w:basedOn w:val="Normal"/>
    <w:link w:val="TextoindependienteCar"/>
    <w:rsid w:val="0088535F"/>
    <w:pPr>
      <w:suppressAutoHyphens/>
      <w:spacing w:line="300" w:lineRule="atLeast"/>
    </w:pPr>
    <w:rPr>
      <w:rFonts w:eastAsia="Times"/>
      <w:i/>
      <w:iCs/>
      <w:lang w:val="es-CR" w:eastAsia="zh-CN"/>
    </w:rPr>
  </w:style>
  <w:style w:type="character" w:customStyle="1" w:styleId="TextoindependienteCar">
    <w:name w:val="Texto independiente Car"/>
    <w:basedOn w:val="Fuentedeprrafopredeter"/>
    <w:link w:val="Textoindependiente"/>
    <w:rsid w:val="00F072E2"/>
    <w:rPr>
      <w:rFonts w:eastAsia="Times"/>
      <w:i/>
      <w:iCs/>
      <w:lang w:val="es-CR" w:eastAsia="zh-CN"/>
    </w:rPr>
  </w:style>
  <w:style w:type="character" w:customStyle="1" w:styleId="PrrafodelistaCar">
    <w:name w:val="Párrafo de lista Car"/>
    <w:aliases w:val="List Paragraph (numbered (a)) Car,Yellow Bullet Car,Normal bullet 2 Car,Paragraph Car,Bullets Car,Ha Car,titulo 3 Car,HOJA Car,Bolita Car,Párrafo de lista4 Car,BOLADEF Car,Párrafo de lista3 Car,Párrafo de lista21 Car,BOLA Car"/>
    <w:link w:val="Prrafodelista"/>
    <w:uiPriority w:val="34"/>
    <w:qFormat/>
    <w:locked/>
    <w:rsid w:val="00F072E2"/>
    <w:rPr>
      <w:rFonts w:ascii="Calibri" w:eastAsia="Calibri" w:hAnsi="Calibri" w:cs="Times New Roman"/>
      <w:sz w:val="22"/>
      <w:szCs w:val="22"/>
      <w:lang w:val="en-US" w:eastAsia="en-US"/>
    </w:rPr>
  </w:style>
  <w:style w:type="character" w:styleId="nfasis">
    <w:name w:val="Emphasis"/>
    <w:uiPriority w:val="20"/>
    <w:qFormat/>
    <w:rsid w:val="00F072E2"/>
    <w:rPr>
      <w:i/>
      <w:iCs/>
    </w:rPr>
  </w:style>
  <w:style w:type="paragraph" w:styleId="NormalWeb">
    <w:name w:val="Normal (Web)"/>
    <w:basedOn w:val="Normal"/>
    <w:uiPriority w:val="99"/>
    <w:rsid w:val="0088535F"/>
    <w:pPr>
      <w:suppressAutoHyphens/>
      <w:spacing w:before="100" w:after="100"/>
    </w:pPr>
    <w:rPr>
      <w:rFonts w:ascii="Arial Unicode MS" w:eastAsia="Arial Unicode MS" w:hAnsi="Arial Unicode MS" w:cs="Arial Unicode MS"/>
      <w:sz w:val="24"/>
      <w:szCs w:val="24"/>
      <w:lang w:val="es-CR" w:eastAsia="zh-CN"/>
    </w:rPr>
  </w:style>
  <w:style w:type="paragraph" w:styleId="Sinespaciado">
    <w:name w:val="No Spacing"/>
    <w:uiPriority w:val="1"/>
    <w:qFormat/>
    <w:rsid w:val="0088535F"/>
    <w:rPr>
      <w:rFonts w:ascii="Calibri" w:eastAsia="Calibri" w:hAnsi="Calibri" w:cs="Times New Roman"/>
      <w:sz w:val="22"/>
      <w:szCs w:val="22"/>
      <w:lang w:val="en-US" w:eastAsia="en-US"/>
    </w:rPr>
  </w:style>
  <w:style w:type="paragraph" w:styleId="Encabezado">
    <w:name w:val="header"/>
    <w:basedOn w:val="Normal"/>
    <w:link w:val="EncabezadoCar"/>
    <w:unhideWhenUsed/>
    <w:rsid w:val="00AF7742"/>
    <w:pPr>
      <w:tabs>
        <w:tab w:val="center" w:pos="4703"/>
        <w:tab w:val="right" w:pos="9406"/>
      </w:tabs>
    </w:pPr>
    <w:rPr>
      <w:rFonts w:asciiTheme="minorHAnsi" w:eastAsiaTheme="minorHAnsi" w:hAnsiTheme="minorHAnsi" w:cstheme="minorBidi"/>
      <w:sz w:val="22"/>
      <w:szCs w:val="22"/>
      <w:lang w:val="es-CR" w:eastAsia="en-US"/>
    </w:rPr>
  </w:style>
  <w:style w:type="character" w:customStyle="1" w:styleId="EncabezadoCar">
    <w:name w:val="Encabezado Car"/>
    <w:basedOn w:val="Fuentedeprrafopredeter"/>
    <w:link w:val="Encabezado"/>
    <w:rsid w:val="00F072E2"/>
    <w:rPr>
      <w:rFonts w:asciiTheme="minorHAnsi" w:eastAsiaTheme="minorHAnsi" w:hAnsiTheme="minorHAnsi" w:cstheme="minorBidi"/>
      <w:sz w:val="22"/>
      <w:szCs w:val="22"/>
      <w:lang w:val="es-CR" w:eastAsia="en-US"/>
    </w:rPr>
  </w:style>
  <w:style w:type="paragraph" w:styleId="Piedepgina">
    <w:name w:val="footer"/>
    <w:basedOn w:val="Normal"/>
    <w:link w:val="PiedepginaCar"/>
    <w:uiPriority w:val="99"/>
    <w:unhideWhenUsed/>
    <w:rsid w:val="00AF7742"/>
    <w:pPr>
      <w:tabs>
        <w:tab w:val="center" w:pos="4703"/>
        <w:tab w:val="right" w:pos="9406"/>
      </w:tabs>
    </w:pPr>
    <w:rPr>
      <w:rFonts w:asciiTheme="minorHAnsi" w:eastAsiaTheme="minorHAnsi" w:hAnsiTheme="minorHAnsi" w:cstheme="minorBidi"/>
      <w:sz w:val="22"/>
      <w:szCs w:val="22"/>
      <w:lang w:val="es-CR" w:eastAsia="en-US"/>
    </w:rPr>
  </w:style>
  <w:style w:type="character" w:customStyle="1" w:styleId="PiedepginaCar">
    <w:name w:val="Pie de página Car"/>
    <w:basedOn w:val="Fuentedeprrafopredeter"/>
    <w:link w:val="Piedepgina"/>
    <w:uiPriority w:val="99"/>
    <w:rsid w:val="00F072E2"/>
    <w:rPr>
      <w:rFonts w:asciiTheme="minorHAnsi" w:eastAsiaTheme="minorHAnsi" w:hAnsiTheme="minorHAnsi" w:cstheme="minorBidi"/>
      <w:sz w:val="22"/>
      <w:szCs w:val="22"/>
      <w:lang w:val="es-CR" w:eastAsia="en-US"/>
    </w:rPr>
  </w:style>
  <w:style w:type="character" w:customStyle="1" w:styleId="Ttulo1Car">
    <w:name w:val="Título 1 Car"/>
    <w:basedOn w:val="Fuentedeprrafopredeter"/>
    <w:link w:val="Ttulo1"/>
    <w:uiPriority w:val="9"/>
    <w:rsid w:val="00F072E2"/>
    <w:rPr>
      <w:rFonts w:asciiTheme="majorHAnsi" w:eastAsiaTheme="majorEastAsia" w:hAnsiTheme="majorHAnsi" w:cstheme="majorBidi"/>
      <w:color w:val="2E74B5" w:themeColor="accent1" w:themeShade="BF"/>
      <w:sz w:val="32"/>
      <w:szCs w:val="32"/>
      <w:lang w:val="es-CR" w:eastAsia="en-US"/>
    </w:rPr>
  </w:style>
  <w:style w:type="character" w:customStyle="1" w:styleId="Style5Char">
    <w:name w:val="Style5 Char"/>
    <w:basedOn w:val="Fuentedeprrafopredeter"/>
    <w:link w:val="Style5"/>
    <w:locked/>
    <w:rsid w:val="00F072E2"/>
    <w:rPr>
      <w:color w:val="000000"/>
      <w:sz w:val="24"/>
      <w:szCs w:val="24"/>
      <w:u w:color="000000"/>
      <w14:textOutline w14:w="0" w14:cap="flat" w14:cmpd="sng" w14:algn="ctr">
        <w14:noFill/>
        <w14:prstDash w14:val="solid"/>
        <w14:bevel/>
      </w14:textOutline>
    </w:rPr>
  </w:style>
  <w:style w:type="paragraph" w:customStyle="1" w:styleId="Style5">
    <w:name w:val="Style5"/>
    <w:basedOn w:val="Normal"/>
    <w:link w:val="Style5Char"/>
    <w:qFormat/>
    <w:rsid w:val="00F072E2"/>
    <w:pPr>
      <w:spacing w:after="480" w:line="276" w:lineRule="auto"/>
      <w:jc w:val="both"/>
    </w:pPr>
    <w:rPr>
      <w:color w:val="000000"/>
      <w:sz w:val="24"/>
      <w:szCs w:val="24"/>
      <w:u w:color="000000"/>
      <w14:textOutline w14:w="0" w14:cap="flat" w14:cmpd="sng" w14:algn="ctr">
        <w14:noFill/>
        <w14:prstDash w14:val="solid"/>
        <w14:bevel/>
      </w14:textOutline>
    </w:rPr>
  </w:style>
  <w:style w:type="paragraph" w:styleId="HTMLconformatoprevio">
    <w:name w:val="HTML Preformatted"/>
    <w:basedOn w:val="Normal"/>
    <w:link w:val="HTMLconformatoprevioCar"/>
    <w:uiPriority w:val="99"/>
    <w:semiHidden/>
    <w:unhideWhenUsed/>
    <w:rsid w:val="007E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s-CR" w:eastAsia="fr-FR"/>
    </w:rPr>
  </w:style>
  <w:style w:type="character" w:customStyle="1" w:styleId="HTMLconformatoprevioCar">
    <w:name w:val="HTML con formato previo Car"/>
    <w:basedOn w:val="Fuentedeprrafopredeter"/>
    <w:link w:val="HTMLconformatoprevio"/>
    <w:uiPriority w:val="99"/>
    <w:semiHidden/>
    <w:rsid w:val="00F072E2"/>
    <w:rPr>
      <w:rFonts w:ascii="Courier New" w:eastAsia="Times New Roman" w:hAnsi="Courier New" w:cs="Courier New"/>
      <w:lang w:val="es-CR" w:eastAsia="fr-FR"/>
    </w:rPr>
  </w:style>
  <w:style w:type="character" w:customStyle="1" w:styleId="y2iqfc">
    <w:name w:val="y2iqfc"/>
    <w:basedOn w:val="Fuentedeprrafopredeter"/>
    <w:rsid w:val="00F072E2"/>
  </w:style>
  <w:style w:type="character" w:customStyle="1" w:styleId="Ttulo3Car">
    <w:name w:val="Título 3 Car"/>
    <w:basedOn w:val="Fuentedeprrafopredeter"/>
    <w:link w:val="Ttulo3"/>
    <w:uiPriority w:val="9"/>
    <w:semiHidden/>
    <w:rsid w:val="00F072E2"/>
    <w:rPr>
      <w:rFonts w:asciiTheme="majorHAnsi" w:eastAsiaTheme="majorEastAsia" w:hAnsiTheme="majorHAnsi" w:cstheme="majorBidi"/>
      <w:color w:val="1F4D78" w:themeColor="accent1" w:themeShade="7F"/>
      <w:sz w:val="24"/>
      <w:szCs w:val="24"/>
      <w:lang w:val="es-CR" w:eastAsia="en-US"/>
    </w:rPr>
  </w:style>
  <w:style w:type="character" w:customStyle="1" w:styleId="None">
    <w:name w:val="None"/>
    <w:rsid w:val="00F072E2"/>
  </w:style>
  <w:style w:type="paragraph" w:customStyle="1" w:styleId="ParrafoNormal">
    <w:name w:val="Parrafo Normal"/>
    <w:basedOn w:val="Normal"/>
    <w:link w:val="ParrafoNormalCar"/>
    <w:qFormat/>
    <w:rsid w:val="00BE5437"/>
    <w:pPr>
      <w:spacing w:after="200" w:line="276" w:lineRule="auto"/>
      <w:jc w:val="both"/>
    </w:pPr>
    <w:rPr>
      <w:rFonts w:ascii="Gill Sans MT" w:eastAsiaTheme="minorHAnsi" w:hAnsi="Gill Sans MT" w:cstheme="minorBidi"/>
      <w:sz w:val="22"/>
      <w:szCs w:val="22"/>
      <w:lang w:val="es-ES" w:eastAsia="en-US"/>
    </w:rPr>
  </w:style>
  <w:style w:type="character" w:customStyle="1" w:styleId="ParrafoNormalCar">
    <w:name w:val="Parrafo Normal Car"/>
    <w:basedOn w:val="Fuentedeprrafopredeter"/>
    <w:link w:val="ParrafoNormal"/>
    <w:rsid w:val="00F072E2"/>
    <w:rPr>
      <w:rFonts w:ascii="Gill Sans MT" w:eastAsiaTheme="minorHAnsi" w:hAnsi="Gill Sans MT" w:cstheme="minorBidi"/>
      <w:sz w:val="22"/>
      <w:szCs w:val="22"/>
      <w:lang w:val="es-ES" w:eastAsia="en-US"/>
    </w:rPr>
  </w:style>
  <w:style w:type="paragraph" w:styleId="Listaconvietas">
    <w:name w:val="List Bullet"/>
    <w:basedOn w:val="Normal"/>
    <w:uiPriority w:val="99"/>
    <w:unhideWhenUsed/>
    <w:rsid w:val="003A413C"/>
    <w:pPr>
      <w:numPr>
        <w:numId w:val="1"/>
      </w:numPr>
      <w:spacing w:after="200" w:line="276" w:lineRule="auto"/>
      <w:contextualSpacing/>
    </w:pPr>
    <w:rPr>
      <w:rFonts w:ascii="Calibri" w:eastAsia="Calibri" w:hAnsi="Calibri" w:cstheme="minorBidi"/>
      <w:sz w:val="22"/>
      <w:szCs w:val="22"/>
      <w:lang w:val="en-US" w:eastAsia="en-US"/>
    </w:rPr>
  </w:style>
  <w:style w:type="character" w:customStyle="1" w:styleId="Ttulo4Car">
    <w:name w:val="Título 4 Car"/>
    <w:basedOn w:val="Fuentedeprrafopredeter"/>
    <w:link w:val="Ttulo4"/>
    <w:uiPriority w:val="9"/>
    <w:semiHidden/>
    <w:rsid w:val="00F072E2"/>
    <w:rPr>
      <w:rFonts w:asciiTheme="majorHAnsi" w:eastAsiaTheme="majorEastAsia" w:hAnsiTheme="majorHAnsi" w:cstheme="majorBidi"/>
      <w:i/>
      <w:iCs/>
      <w:color w:val="2E74B5" w:themeColor="accent1" w:themeShade="BF"/>
      <w:sz w:val="22"/>
      <w:szCs w:val="22"/>
      <w:lang w:val="es-CR" w:eastAsia="en-US"/>
    </w:rPr>
  </w:style>
  <w:style w:type="table" w:styleId="Tablaconcuadrcula">
    <w:name w:val="Table Grid"/>
    <w:basedOn w:val="Tablanormal"/>
    <w:uiPriority w:val="59"/>
    <w:rsid w:val="00F072E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8032">
      <w:bodyDiv w:val="1"/>
      <w:marLeft w:val="0"/>
      <w:marRight w:val="0"/>
      <w:marTop w:val="0"/>
      <w:marBottom w:val="0"/>
      <w:divBdr>
        <w:top w:val="none" w:sz="0" w:space="0" w:color="auto"/>
        <w:left w:val="none" w:sz="0" w:space="0" w:color="auto"/>
        <w:bottom w:val="none" w:sz="0" w:space="0" w:color="auto"/>
        <w:right w:val="none" w:sz="0" w:space="0" w:color="auto"/>
      </w:divBdr>
      <w:divsChild>
        <w:div w:id="1193807305">
          <w:marLeft w:val="0"/>
          <w:marRight w:val="0"/>
          <w:marTop w:val="0"/>
          <w:marBottom w:val="0"/>
          <w:divBdr>
            <w:top w:val="none" w:sz="0" w:space="0" w:color="auto"/>
            <w:left w:val="none" w:sz="0" w:space="0" w:color="auto"/>
            <w:bottom w:val="none" w:sz="0" w:space="0" w:color="auto"/>
            <w:right w:val="none" w:sz="0" w:space="0" w:color="auto"/>
          </w:divBdr>
          <w:divsChild>
            <w:div w:id="1804494580">
              <w:marLeft w:val="0"/>
              <w:marRight w:val="0"/>
              <w:marTop w:val="0"/>
              <w:marBottom w:val="0"/>
              <w:divBdr>
                <w:top w:val="none" w:sz="0" w:space="0" w:color="auto"/>
                <w:left w:val="none" w:sz="0" w:space="0" w:color="auto"/>
                <w:bottom w:val="none" w:sz="0" w:space="0" w:color="auto"/>
                <w:right w:val="none" w:sz="0" w:space="0" w:color="auto"/>
              </w:divBdr>
              <w:divsChild>
                <w:div w:id="1246106681">
                  <w:marLeft w:val="0"/>
                  <w:marRight w:val="0"/>
                  <w:marTop w:val="0"/>
                  <w:marBottom w:val="0"/>
                  <w:divBdr>
                    <w:top w:val="none" w:sz="0" w:space="0" w:color="auto"/>
                    <w:left w:val="none" w:sz="0" w:space="0" w:color="auto"/>
                    <w:bottom w:val="none" w:sz="0" w:space="0" w:color="auto"/>
                    <w:right w:val="none" w:sz="0" w:space="0" w:color="auto"/>
                  </w:divBdr>
                  <w:divsChild>
                    <w:div w:id="938368318">
                      <w:marLeft w:val="0"/>
                      <w:marRight w:val="0"/>
                      <w:marTop w:val="0"/>
                      <w:marBottom w:val="0"/>
                      <w:divBdr>
                        <w:top w:val="none" w:sz="0" w:space="0" w:color="auto"/>
                        <w:left w:val="none" w:sz="0" w:space="0" w:color="auto"/>
                        <w:bottom w:val="none" w:sz="0" w:space="0" w:color="auto"/>
                        <w:right w:val="none" w:sz="0" w:space="0" w:color="auto"/>
                      </w:divBdr>
                      <w:divsChild>
                        <w:div w:id="1027829999">
                          <w:marLeft w:val="0"/>
                          <w:marRight w:val="0"/>
                          <w:marTop w:val="0"/>
                          <w:marBottom w:val="0"/>
                          <w:divBdr>
                            <w:top w:val="none" w:sz="0" w:space="0" w:color="auto"/>
                            <w:left w:val="none" w:sz="0" w:space="0" w:color="auto"/>
                            <w:bottom w:val="none" w:sz="0" w:space="0" w:color="auto"/>
                            <w:right w:val="none" w:sz="0" w:space="0" w:color="auto"/>
                          </w:divBdr>
                          <w:divsChild>
                            <w:div w:id="820385902">
                              <w:marLeft w:val="0"/>
                              <w:marRight w:val="300"/>
                              <w:marTop w:val="180"/>
                              <w:marBottom w:val="0"/>
                              <w:divBdr>
                                <w:top w:val="none" w:sz="0" w:space="0" w:color="auto"/>
                                <w:left w:val="none" w:sz="0" w:space="0" w:color="auto"/>
                                <w:bottom w:val="none" w:sz="0" w:space="0" w:color="auto"/>
                                <w:right w:val="none" w:sz="0" w:space="0" w:color="auto"/>
                              </w:divBdr>
                              <w:divsChild>
                                <w:div w:id="47633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588114">
          <w:marLeft w:val="0"/>
          <w:marRight w:val="0"/>
          <w:marTop w:val="0"/>
          <w:marBottom w:val="0"/>
          <w:divBdr>
            <w:top w:val="none" w:sz="0" w:space="0" w:color="auto"/>
            <w:left w:val="none" w:sz="0" w:space="0" w:color="auto"/>
            <w:bottom w:val="none" w:sz="0" w:space="0" w:color="auto"/>
            <w:right w:val="none" w:sz="0" w:space="0" w:color="auto"/>
          </w:divBdr>
          <w:divsChild>
            <w:div w:id="2049144309">
              <w:marLeft w:val="0"/>
              <w:marRight w:val="0"/>
              <w:marTop w:val="0"/>
              <w:marBottom w:val="0"/>
              <w:divBdr>
                <w:top w:val="none" w:sz="0" w:space="0" w:color="auto"/>
                <w:left w:val="none" w:sz="0" w:space="0" w:color="auto"/>
                <w:bottom w:val="none" w:sz="0" w:space="0" w:color="auto"/>
                <w:right w:val="none" w:sz="0" w:space="0" w:color="auto"/>
              </w:divBdr>
              <w:divsChild>
                <w:div w:id="889807288">
                  <w:marLeft w:val="0"/>
                  <w:marRight w:val="0"/>
                  <w:marTop w:val="0"/>
                  <w:marBottom w:val="0"/>
                  <w:divBdr>
                    <w:top w:val="none" w:sz="0" w:space="0" w:color="auto"/>
                    <w:left w:val="none" w:sz="0" w:space="0" w:color="auto"/>
                    <w:bottom w:val="none" w:sz="0" w:space="0" w:color="auto"/>
                    <w:right w:val="none" w:sz="0" w:space="0" w:color="auto"/>
                  </w:divBdr>
                  <w:divsChild>
                    <w:div w:id="2112815265">
                      <w:marLeft w:val="0"/>
                      <w:marRight w:val="0"/>
                      <w:marTop w:val="0"/>
                      <w:marBottom w:val="0"/>
                      <w:divBdr>
                        <w:top w:val="none" w:sz="0" w:space="0" w:color="auto"/>
                        <w:left w:val="none" w:sz="0" w:space="0" w:color="auto"/>
                        <w:bottom w:val="none" w:sz="0" w:space="0" w:color="auto"/>
                        <w:right w:val="none" w:sz="0" w:space="0" w:color="auto"/>
                      </w:divBdr>
                      <w:divsChild>
                        <w:div w:id="145000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2420115">
      <w:bodyDiv w:val="1"/>
      <w:marLeft w:val="0"/>
      <w:marRight w:val="0"/>
      <w:marTop w:val="0"/>
      <w:marBottom w:val="0"/>
      <w:divBdr>
        <w:top w:val="none" w:sz="0" w:space="0" w:color="auto"/>
        <w:left w:val="none" w:sz="0" w:space="0" w:color="auto"/>
        <w:bottom w:val="none" w:sz="0" w:space="0" w:color="auto"/>
        <w:right w:val="none" w:sz="0" w:space="0" w:color="auto"/>
      </w:divBdr>
      <w:divsChild>
        <w:div w:id="487206690">
          <w:marLeft w:val="0"/>
          <w:marRight w:val="0"/>
          <w:marTop w:val="0"/>
          <w:marBottom w:val="0"/>
          <w:divBdr>
            <w:top w:val="none" w:sz="0" w:space="0" w:color="auto"/>
            <w:left w:val="none" w:sz="0" w:space="0" w:color="auto"/>
            <w:bottom w:val="none" w:sz="0" w:space="0" w:color="auto"/>
            <w:right w:val="none" w:sz="0" w:space="0" w:color="auto"/>
          </w:divBdr>
        </w:div>
        <w:div w:id="796066286">
          <w:marLeft w:val="0"/>
          <w:marRight w:val="0"/>
          <w:marTop w:val="0"/>
          <w:marBottom w:val="0"/>
          <w:divBdr>
            <w:top w:val="none" w:sz="0" w:space="0" w:color="auto"/>
            <w:left w:val="none" w:sz="0" w:space="0" w:color="auto"/>
            <w:bottom w:val="none" w:sz="0" w:space="0" w:color="auto"/>
            <w:right w:val="none" w:sz="0" w:space="0" w:color="auto"/>
          </w:divBdr>
        </w:div>
      </w:divsChild>
    </w:div>
    <w:div w:id="330450723">
      <w:bodyDiv w:val="1"/>
      <w:marLeft w:val="0"/>
      <w:marRight w:val="0"/>
      <w:marTop w:val="0"/>
      <w:marBottom w:val="0"/>
      <w:divBdr>
        <w:top w:val="none" w:sz="0" w:space="0" w:color="auto"/>
        <w:left w:val="none" w:sz="0" w:space="0" w:color="auto"/>
        <w:bottom w:val="none" w:sz="0" w:space="0" w:color="auto"/>
        <w:right w:val="none" w:sz="0" w:space="0" w:color="auto"/>
      </w:divBdr>
    </w:div>
    <w:div w:id="363865288">
      <w:bodyDiv w:val="1"/>
      <w:marLeft w:val="0"/>
      <w:marRight w:val="0"/>
      <w:marTop w:val="0"/>
      <w:marBottom w:val="0"/>
      <w:divBdr>
        <w:top w:val="none" w:sz="0" w:space="0" w:color="auto"/>
        <w:left w:val="none" w:sz="0" w:space="0" w:color="auto"/>
        <w:bottom w:val="none" w:sz="0" w:space="0" w:color="auto"/>
        <w:right w:val="none" w:sz="0" w:space="0" w:color="auto"/>
      </w:divBdr>
    </w:div>
    <w:div w:id="434636353">
      <w:bodyDiv w:val="1"/>
      <w:marLeft w:val="0"/>
      <w:marRight w:val="0"/>
      <w:marTop w:val="0"/>
      <w:marBottom w:val="0"/>
      <w:divBdr>
        <w:top w:val="none" w:sz="0" w:space="0" w:color="auto"/>
        <w:left w:val="none" w:sz="0" w:space="0" w:color="auto"/>
        <w:bottom w:val="none" w:sz="0" w:space="0" w:color="auto"/>
        <w:right w:val="none" w:sz="0" w:space="0" w:color="auto"/>
      </w:divBdr>
    </w:div>
    <w:div w:id="484707168">
      <w:bodyDiv w:val="1"/>
      <w:marLeft w:val="0"/>
      <w:marRight w:val="0"/>
      <w:marTop w:val="0"/>
      <w:marBottom w:val="0"/>
      <w:divBdr>
        <w:top w:val="none" w:sz="0" w:space="0" w:color="auto"/>
        <w:left w:val="none" w:sz="0" w:space="0" w:color="auto"/>
        <w:bottom w:val="none" w:sz="0" w:space="0" w:color="auto"/>
        <w:right w:val="none" w:sz="0" w:space="0" w:color="auto"/>
      </w:divBdr>
    </w:div>
    <w:div w:id="572006576">
      <w:bodyDiv w:val="1"/>
      <w:marLeft w:val="0"/>
      <w:marRight w:val="0"/>
      <w:marTop w:val="0"/>
      <w:marBottom w:val="0"/>
      <w:divBdr>
        <w:top w:val="none" w:sz="0" w:space="0" w:color="auto"/>
        <w:left w:val="none" w:sz="0" w:space="0" w:color="auto"/>
        <w:bottom w:val="none" w:sz="0" w:space="0" w:color="auto"/>
        <w:right w:val="none" w:sz="0" w:space="0" w:color="auto"/>
      </w:divBdr>
    </w:div>
    <w:div w:id="726341613">
      <w:bodyDiv w:val="1"/>
      <w:marLeft w:val="0"/>
      <w:marRight w:val="0"/>
      <w:marTop w:val="0"/>
      <w:marBottom w:val="0"/>
      <w:divBdr>
        <w:top w:val="none" w:sz="0" w:space="0" w:color="auto"/>
        <w:left w:val="none" w:sz="0" w:space="0" w:color="auto"/>
        <w:bottom w:val="none" w:sz="0" w:space="0" w:color="auto"/>
        <w:right w:val="none" w:sz="0" w:space="0" w:color="auto"/>
      </w:divBdr>
      <w:divsChild>
        <w:div w:id="1309166682">
          <w:marLeft w:val="0"/>
          <w:marRight w:val="0"/>
          <w:marTop w:val="0"/>
          <w:marBottom w:val="0"/>
          <w:divBdr>
            <w:top w:val="none" w:sz="0" w:space="0" w:color="auto"/>
            <w:left w:val="none" w:sz="0" w:space="0" w:color="auto"/>
            <w:bottom w:val="none" w:sz="0" w:space="0" w:color="auto"/>
            <w:right w:val="none" w:sz="0" w:space="0" w:color="auto"/>
          </w:divBdr>
        </w:div>
      </w:divsChild>
    </w:div>
    <w:div w:id="860164100">
      <w:bodyDiv w:val="1"/>
      <w:marLeft w:val="0"/>
      <w:marRight w:val="0"/>
      <w:marTop w:val="0"/>
      <w:marBottom w:val="0"/>
      <w:divBdr>
        <w:top w:val="none" w:sz="0" w:space="0" w:color="auto"/>
        <w:left w:val="none" w:sz="0" w:space="0" w:color="auto"/>
        <w:bottom w:val="none" w:sz="0" w:space="0" w:color="auto"/>
        <w:right w:val="none" w:sz="0" w:space="0" w:color="auto"/>
      </w:divBdr>
    </w:div>
    <w:div w:id="880018212">
      <w:bodyDiv w:val="1"/>
      <w:marLeft w:val="0"/>
      <w:marRight w:val="0"/>
      <w:marTop w:val="0"/>
      <w:marBottom w:val="0"/>
      <w:divBdr>
        <w:top w:val="none" w:sz="0" w:space="0" w:color="auto"/>
        <w:left w:val="none" w:sz="0" w:space="0" w:color="auto"/>
        <w:bottom w:val="none" w:sz="0" w:space="0" w:color="auto"/>
        <w:right w:val="none" w:sz="0" w:space="0" w:color="auto"/>
      </w:divBdr>
      <w:divsChild>
        <w:div w:id="1999571286">
          <w:marLeft w:val="0"/>
          <w:marRight w:val="0"/>
          <w:marTop w:val="0"/>
          <w:marBottom w:val="0"/>
          <w:divBdr>
            <w:top w:val="none" w:sz="0" w:space="0" w:color="auto"/>
            <w:left w:val="none" w:sz="0" w:space="0" w:color="auto"/>
            <w:bottom w:val="none" w:sz="0" w:space="0" w:color="auto"/>
            <w:right w:val="none" w:sz="0" w:space="0" w:color="auto"/>
          </w:divBdr>
        </w:div>
      </w:divsChild>
    </w:div>
    <w:div w:id="900292129">
      <w:bodyDiv w:val="1"/>
      <w:marLeft w:val="0"/>
      <w:marRight w:val="0"/>
      <w:marTop w:val="0"/>
      <w:marBottom w:val="0"/>
      <w:divBdr>
        <w:top w:val="none" w:sz="0" w:space="0" w:color="auto"/>
        <w:left w:val="none" w:sz="0" w:space="0" w:color="auto"/>
        <w:bottom w:val="none" w:sz="0" w:space="0" w:color="auto"/>
        <w:right w:val="none" w:sz="0" w:space="0" w:color="auto"/>
      </w:divBdr>
      <w:divsChild>
        <w:div w:id="30957768">
          <w:marLeft w:val="0"/>
          <w:marRight w:val="0"/>
          <w:marTop w:val="0"/>
          <w:marBottom w:val="0"/>
          <w:divBdr>
            <w:top w:val="none" w:sz="0" w:space="0" w:color="auto"/>
            <w:left w:val="none" w:sz="0" w:space="0" w:color="auto"/>
            <w:bottom w:val="none" w:sz="0" w:space="0" w:color="auto"/>
            <w:right w:val="none" w:sz="0" w:space="0" w:color="auto"/>
          </w:divBdr>
        </w:div>
        <w:div w:id="313798764">
          <w:marLeft w:val="0"/>
          <w:marRight w:val="0"/>
          <w:marTop w:val="0"/>
          <w:marBottom w:val="0"/>
          <w:divBdr>
            <w:top w:val="none" w:sz="0" w:space="0" w:color="auto"/>
            <w:left w:val="none" w:sz="0" w:space="0" w:color="auto"/>
            <w:bottom w:val="none" w:sz="0" w:space="0" w:color="auto"/>
            <w:right w:val="none" w:sz="0" w:space="0" w:color="auto"/>
          </w:divBdr>
        </w:div>
        <w:div w:id="577322366">
          <w:marLeft w:val="0"/>
          <w:marRight w:val="0"/>
          <w:marTop w:val="0"/>
          <w:marBottom w:val="0"/>
          <w:divBdr>
            <w:top w:val="none" w:sz="0" w:space="0" w:color="auto"/>
            <w:left w:val="none" w:sz="0" w:space="0" w:color="auto"/>
            <w:bottom w:val="none" w:sz="0" w:space="0" w:color="auto"/>
            <w:right w:val="none" w:sz="0" w:space="0" w:color="auto"/>
          </w:divBdr>
        </w:div>
        <w:div w:id="614215484">
          <w:marLeft w:val="0"/>
          <w:marRight w:val="0"/>
          <w:marTop w:val="0"/>
          <w:marBottom w:val="0"/>
          <w:divBdr>
            <w:top w:val="none" w:sz="0" w:space="0" w:color="auto"/>
            <w:left w:val="none" w:sz="0" w:space="0" w:color="auto"/>
            <w:bottom w:val="none" w:sz="0" w:space="0" w:color="auto"/>
            <w:right w:val="none" w:sz="0" w:space="0" w:color="auto"/>
          </w:divBdr>
        </w:div>
        <w:div w:id="708913829">
          <w:marLeft w:val="0"/>
          <w:marRight w:val="0"/>
          <w:marTop w:val="0"/>
          <w:marBottom w:val="0"/>
          <w:divBdr>
            <w:top w:val="none" w:sz="0" w:space="0" w:color="auto"/>
            <w:left w:val="none" w:sz="0" w:space="0" w:color="auto"/>
            <w:bottom w:val="none" w:sz="0" w:space="0" w:color="auto"/>
            <w:right w:val="none" w:sz="0" w:space="0" w:color="auto"/>
          </w:divBdr>
        </w:div>
        <w:div w:id="935557288">
          <w:marLeft w:val="0"/>
          <w:marRight w:val="0"/>
          <w:marTop w:val="0"/>
          <w:marBottom w:val="0"/>
          <w:divBdr>
            <w:top w:val="none" w:sz="0" w:space="0" w:color="auto"/>
            <w:left w:val="none" w:sz="0" w:space="0" w:color="auto"/>
            <w:bottom w:val="none" w:sz="0" w:space="0" w:color="auto"/>
            <w:right w:val="none" w:sz="0" w:space="0" w:color="auto"/>
          </w:divBdr>
        </w:div>
        <w:div w:id="1016811783">
          <w:marLeft w:val="0"/>
          <w:marRight w:val="0"/>
          <w:marTop w:val="0"/>
          <w:marBottom w:val="0"/>
          <w:divBdr>
            <w:top w:val="none" w:sz="0" w:space="0" w:color="auto"/>
            <w:left w:val="none" w:sz="0" w:space="0" w:color="auto"/>
            <w:bottom w:val="none" w:sz="0" w:space="0" w:color="auto"/>
            <w:right w:val="none" w:sz="0" w:space="0" w:color="auto"/>
          </w:divBdr>
        </w:div>
        <w:div w:id="1143355807">
          <w:marLeft w:val="0"/>
          <w:marRight w:val="0"/>
          <w:marTop w:val="0"/>
          <w:marBottom w:val="0"/>
          <w:divBdr>
            <w:top w:val="none" w:sz="0" w:space="0" w:color="auto"/>
            <w:left w:val="none" w:sz="0" w:space="0" w:color="auto"/>
            <w:bottom w:val="none" w:sz="0" w:space="0" w:color="auto"/>
            <w:right w:val="none" w:sz="0" w:space="0" w:color="auto"/>
          </w:divBdr>
        </w:div>
        <w:div w:id="1495608518">
          <w:marLeft w:val="0"/>
          <w:marRight w:val="0"/>
          <w:marTop w:val="0"/>
          <w:marBottom w:val="0"/>
          <w:divBdr>
            <w:top w:val="none" w:sz="0" w:space="0" w:color="auto"/>
            <w:left w:val="none" w:sz="0" w:space="0" w:color="auto"/>
            <w:bottom w:val="none" w:sz="0" w:space="0" w:color="auto"/>
            <w:right w:val="none" w:sz="0" w:space="0" w:color="auto"/>
          </w:divBdr>
        </w:div>
        <w:div w:id="1592277021">
          <w:marLeft w:val="0"/>
          <w:marRight w:val="0"/>
          <w:marTop w:val="0"/>
          <w:marBottom w:val="0"/>
          <w:divBdr>
            <w:top w:val="none" w:sz="0" w:space="0" w:color="auto"/>
            <w:left w:val="none" w:sz="0" w:space="0" w:color="auto"/>
            <w:bottom w:val="none" w:sz="0" w:space="0" w:color="auto"/>
            <w:right w:val="none" w:sz="0" w:space="0" w:color="auto"/>
          </w:divBdr>
        </w:div>
        <w:div w:id="1982885881">
          <w:marLeft w:val="0"/>
          <w:marRight w:val="0"/>
          <w:marTop w:val="0"/>
          <w:marBottom w:val="0"/>
          <w:divBdr>
            <w:top w:val="none" w:sz="0" w:space="0" w:color="auto"/>
            <w:left w:val="none" w:sz="0" w:space="0" w:color="auto"/>
            <w:bottom w:val="none" w:sz="0" w:space="0" w:color="auto"/>
            <w:right w:val="none" w:sz="0" w:space="0" w:color="auto"/>
          </w:divBdr>
        </w:div>
      </w:divsChild>
    </w:div>
    <w:div w:id="1016661547">
      <w:bodyDiv w:val="1"/>
      <w:marLeft w:val="0"/>
      <w:marRight w:val="0"/>
      <w:marTop w:val="0"/>
      <w:marBottom w:val="0"/>
      <w:divBdr>
        <w:top w:val="none" w:sz="0" w:space="0" w:color="auto"/>
        <w:left w:val="none" w:sz="0" w:space="0" w:color="auto"/>
        <w:bottom w:val="none" w:sz="0" w:space="0" w:color="auto"/>
        <w:right w:val="none" w:sz="0" w:space="0" w:color="auto"/>
      </w:divBdr>
    </w:div>
    <w:div w:id="1026834028">
      <w:bodyDiv w:val="1"/>
      <w:marLeft w:val="0"/>
      <w:marRight w:val="0"/>
      <w:marTop w:val="0"/>
      <w:marBottom w:val="0"/>
      <w:divBdr>
        <w:top w:val="none" w:sz="0" w:space="0" w:color="auto"/>
        <w:left w:val="none" w:sz="0" w:space="0" w:color="auto"/>
        <w:bottom w:val="none" w:sz="0" w:space="0" w:color="auto"/>
        <w:right w:val="none" w:sz="0" w:space="0" w:color="auto"/>
      </w:divBdr>
    </w:div>
    <w:div w:id="1072459853">
      <w:bodyDiv w:val="1"/>
      <w:marLeft w:val="0"/>
      <w:marRight w:val="0"/>
      <w:marTop w:val="0"/>
      <w:marBottom w:val="0"/>
      <w:divBdr>
        <w:top w:val="none" w:sz="0" w:space="0" w:color="auto"/>
        <w:left w:val="none" w:sz="0" w:space="0" w:color="auto"/>
        <w:bottom w:val="none" w:sz="0" w:space="0" w:color="auto"/>
        <w:right w:val="none" w:sz="0" w:space="0" w:color="auto"/>
      </w:divBdr>
    </w:div>
    <w:div w:id="1117139197">
      <w:bodyDiv w:val="1"/>
      <w:marLeft w:val="0"/>
      <w:marRight w:val="0"/>
      <w:marTop w:val="0"/>
      <w:marBottom w:val="0"/>
      <w:divBdr>
        <w:top w:val="none" w:sz="0" w:space="0" w:color="auto"/>
        <w:left w:val="none" w:sz="0" w:space="0" w:color="auto"/>
        <w:bottom w:val="none" w:sz="0" w:space="0" w:color="auto"/>
        <w:right w:val="none" w:sz="0" w:space="0" w:color="auto"/>
      </w:divBdr>
    </w:div>
    <w:div w:id="1667174622">
      <w:bodyDiv w:val="1"/>
      <w:marLeft w:val="0"/>
      <w:marRight w:val="0"/>
      <w:marTop w:val="0"/>
      <w:marBottom w:val="0"/>
      <w:divBdr>
        <w:top w:val="none" w:sz="0" w:space="0" w:color="auto"/>
        <w:left w:val="none" w:sz="0" w:space="0" w:color="auto"/>
        <w:bottom w:val="none" w:sz="0" w:space="0" w:color="auto"/>
        <w:right w:val="none" w:sz="0" w:space="0" w:color="auto"/>
      </w:divBdr>
    </w:div>
    <w:div w:id="1679195245">
      <w:bodyDiv w:val="1"/>
      <w:marLeft w:val="0"/>
      <w:marRight w:val="0"/>
      <w:marTop w:val="0"/>
      <w:marBottom w:val="0"/>
      <w:divBdr>
        <w:top w:val="none" w:sz="0" w:space="0" w:color="auto"/>
        <w:left w:val="none" w:sz="0" w:space="0" w:color="auto"/>
        <w:bottom w:val="none" w:sz="0" w:space="0" w:color="auto"/>
        <w:right w:val="none" w:sz="0" w:space="0" w:color="auto"/>
      </w:divBdr>
    </w:div>
    <w:div w:id="1718702844">
      <w:bodyDiv w:val="1"/>
      <w:marLeft w:val="0"/>
      <w:marRight w:val="0"/>
      <w:marTop w:val="0"/>
      <w:marBottom w:val="0"/>
      <w:divBdr>
        <w:top w:val="none" w:sz="0" w:space="0" w:color="auto"/>
        <w:left w:val="none" w:sz="0" w:space="0" w:color="auto"/>
        <w:bottom w:val="none" w:sz="0" w:space="0" w:color="auto"/>
        <w:right w:val="none" w:sz="0" w:space="0" w:color="auto"/>
      </w:divBdr>
    </w:div>
    <w:div w:id="1978802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p.europa.eu/es/publication-detail/-/publication/30463526-7bd5-11eb-9ac9-01aa75ed71a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BB430-4FE9-486D-96C9-EB0EB8703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8214</Words>
  <Characters>45182</Characters>
  <Application>Microsoft Office Word</Application>
  <DocSecurity>0</DocSecurity>
  <Lines>376</Lines>
  <Paragraphs>106</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Camilo Brinez</cp:lastModifiedBy>
  <cp:revision>9</cp:revision>
  <dcterms:created xsi:type="dcterms:W3CDTF">2026-06-01T21:24:00Z</dcterms:created>
  <dcterms:modified xsi:type="dcterms:W3CDTF">2026-06-05T14:47:00Z</dcterms:modified>
</cp:coreProperties>
</file>